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D9" w:rsidRP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РОССИЙСКАЯ ФЕДЕРАЦИЯ</w:t>
      </w:r>
    </w:p>
    <w:p w:rsidR="00911FD9" w:rsidRP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ИРКУТСКАЯ ОБЛАСТЬ</w:t>
      </w:r>
    </w:p>
    <w:p w:rsidR="00911FD9" w:rsidRP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ТУЛУНСКИЙ РАЙОН</w:t>
      </w:r>
    </w:p>
    <w:p w:rsidR="00911FD9" w:rsidRP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КОТИКСКОЕ СЕЛЬСКОЕ ПОСЕЛЕНИЕ</w:t>
      </w:r>
    </w:p>
    <w:p w:rsid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</w:p>
    <w:p w:rsidR="00911FD9" w:rsidRP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ПОСТАНОВЛЕНИЕ</w:t>
      </w:r>
    </w:p>
    <w:p w:rsidR="00911FD9" w:rsidRP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11FD9" w:rsidRDefault="00C71D2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30.10</w:t>
      </w:r>
      <w:r w:rsidR="00911FD9" w:rsidRP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.201</w:t>
      </w:r>
      <w:r w:rsid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8 г</w:t>
      </w:r>
      <w:r w:rsidR="00911FD9" w:rsidRP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. </w:t>
      </w:r>
      <w:r w:rsid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№56/1</w:t>
      </w:r>
      <w:r w:rsidR="00911FD9" w:rsidRP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-</w:t>
      </w:r>
      <w:r w:rsidR="00911FD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пг</w:t>
      </w:r>
    </w:p>
    <w:p w:rsid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. Котик</w:t>
      </w:r>
    </w:p>
    <w:p w:rsidR="00911FD9" w:rsidRPr="00911FD9" w:rsidRDefault="00911FD9" w:rsidP="00911FD9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11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предварительных (ожидаемых) итогах социально-экономического развития 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11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11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отикского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911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улунского района</w:t>
      </w: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173 Бюджетного кодекса Российской Федерации, Положением о бюджетном процессе в Котикском муниципальном образовании, утвержденным решением Думы Котикского сельского поселения №74 от 15.04.2011 (с изменениями и дополнениями, утвержденными решением Думы Котикского сельского поселения №7 от 26.06.2013 года, №11 от 06.06.2014 года), руководствуясь Уставом Котикского муниципального образования,</w:t>
      </w:r>
    </w:p>
    <w:p w:rsid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D9" w:rsidRPr="00911FD9" w:rsidRDefault="00911FD9" w:rsidP="00911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предварительные (ожидаемые) итоги социально-экономического развития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Котикского муниципального образования Тулунского района.</w:t>
      </w:r>
    </w:p>
    <w:p w:rsidR="00911FD9" w:rsidRPr="00911FD9" w:rsidRDefault="00911FD9" w:rsidP="00911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911FD9" w:rsidRPr="00911FD9" w:rsidRDefault="00911FD9" w:rsidP="00911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Котикского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Пырьев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911FD9" w:rsidRP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11FD9" w:rsidRP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 муниципального образования</w:t>
      </w:r>
    </w:p>
    <w:p w:rsidR="00911FD9" w:rsidRP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45б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911FD9" w:rsidRPr="00911FD9" w:rsidRDefault="00911FD9" w:rsidP="00911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Предварительные (ожидаемые) итоги социально-экономического развития 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11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Котикского муниципального образования </w:t>
      </w: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</w:t>
      </w: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Котикского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за 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Демографические показатели, доходы населения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Финансы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Производство товаров и услуг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Рынок товаров и услуг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Малое и среднее предпринимательство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Труд и занятость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Развитие социальной сферы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1.Административно-территориальное деление</w:t>
      </w: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8" w:type="dxa"/>
        <w:jc w:val="center"/>
        <w:tblCellSpacing w:w="0" w:type="dxa"/>
        <w:tblInd w:w="-2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4"/>
        <w:gridCol w:w="1689"/>
        <w:gridCol w:w="1459"/>
        <w:gridCol w:w="1571"/>
        <w:gridCol w:w="1492"/>
        <w:gridCol w:w="1473"/>
      </w:tblGrid>
      <w:tr w:rsidR="00911FD9" w:rsidRPr="00911FD9" w:rsidTr="00911FD9">
        <w:trPr>
          <w:tblCellSpacing w:w="0" w:type="dxa"/>
          <w:jc w:val="center"/>
        </w:trPr>
        <w:tc>
          <w:tcPr>
            <w:tcW w:w="17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 на 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чел.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населенного пункта до центра (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населенного пункта до районного центра (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911FD9" w:rsidRPr="00911FD9" w:rsidTr="00911FD9">
        <w:trPr>
          <w:tblCellSpacing w:w="0" w:type="dxa"/>
          <w:jc w:val="center"/>
        </w:trPr>
        <w:tc>
          <w:tcPr>
            <w:tcW w:w="17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Котикское сельское поселение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Котик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Заусаева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Красная Дубрава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Утай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Малый </w:t>
            </w:r>
            <w:proofErr w:type="spell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Утайчик</w:t>
            </w:r>
            <w:proofErr w:type="spellEnd"/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3C2CB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4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445332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445332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445332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911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911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911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 км</w:t>
              </w:r>
            </w:smartTag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911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2 км</w:t>
              </w:r>
            </w:smartTag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911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11 км</w:t>
              </w:r>
            </w:smartTag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911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км</w:t>
              </w:r>
            </w:smartTag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911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км</w:t>
              </w:r>
            </w:smartTag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911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 км</w:t>
              </w:r>
            </w:smartTag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911F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13 км</w:t>
              </w:r>
            </w:smartTag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маршрутный автобус (4 рейса за день)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ж/д транспорт (электропоезд </w:t>
            </w:r>
            <w:proofErr w:type="gramEnd"/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рейса за день)</w:t>
            </w:r>
            <w:proofErr w:type="gramEnd"/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маршрутный автобус 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рейса за день)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маршрутный автобус 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рейса за день)</w:t>
            </w: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ж/д транспорт (электропоезд </w:t>
            </w:r>
            <w:proofErr w:type="gramEnd"/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рейса за день)</w:t>
            </w:r>
            <w:proofErr w:type="gramEnd"/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ж/д 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 (электропоезд </w:t>
            </w:r>
            <w:proofErr w:type="gramEnd"/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рейса за день)</w:t>
            </w:r>
            <w:proofErr w:type="gramEnd"/>
          </w:p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показатели</w:t>
      </w: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3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2602"/>
        <w:gridCol w:w="1590"/>
        <w:gridCol w:w="1590"/>
        <w:gridCol w:w="2574"/>
      </w:tblGrid>
      <w:tr w:rsidR="00911FD9" w:rsidRPr="00911FD9" w:rsidTr="00911FD9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DE033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(предварительные итоги)</w:t>
            </w:r>
          </w:p>
        </w:tc>
      </w:tr>
      <w:tr w:rsidR="00911FD9" w:rsidRPr="00911FD9" w:rsidTr="00911FD9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1FD9" w:rsidRPr="00911FD9" w:rsidTr="00911FD9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в границах муниципального образования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11334</w:t>
            </w:r>
          </w:p>
        </w:tc>
      </w:tr>
      <w:tr w:rsidR="00911FD9" w:rsidRPr="00911FD9" w:rsidTr="00911FD9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земель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811,02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811,02</w:t>
            </w:r>
          </w:p>
        </w:tc>
      </w:tr>
    </w:tbl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Предварительные (ожидаемые) итоги социально-экономического развития Котикского муниципального образования за 6 месяцев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 Демографические показатели, доходы населения</w:t>
      </w:r>
    </w:p>
    <w:p w:rsidR="00911FD9" w:rsidRPr="00911FD9" w:rsidRDefault="00911FD9" w:rsidP="00B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</w:rPr>
        <w:t>Деятельность Администрации Котикского сельского поселения в текущем финансовом году, как и в прежние годы, была направлена  на удержание достигнутой ранее положительной динамики развития экономики, на повышение деловой и инвестиционной активности  как базы для устойчивого наполнения бюджета Котикского муниципального образования (далее – бюджет поселения), улучшение ситуации в социальной сфере, на комфортность проживания на территории Котикского сельского поселения (далее – поселение).</w:t>
      </w:r>
      <w:proofErr w:type="gramEnd"/>
    </w:p>
    <w:p w:rsidR="00911FD9" w:rsidRPr="00911FD9" w:rsidRDefault="00911FD9" w:rsidP="00B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D9">
        <w:rPr>
          <w:rFonts w:ascii="Times New Roman" w:eastAsia="Times New Roman" w:hAnsi="Times New Roman" w:cs="Times New Roman"/>
          <w:sz w:val="24"/>
          <w:szCs w:val="24"/>
        </w:rPr>
        <w:t>Оценка ожидаемого исполнения бюджета Котикского сельского поселения произведена с учетом фактического исполнения бюджетов по состоянию на 1 июля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1FD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11FD9" w:rsidRPr="00911FD9" w:rsidRDefault="00911FD9" w:rsidP="00B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D9">
        <w:rPr>
          <w:rFonts w:ascii="Times New Roman" w:eastAsia="Times New Roman" w:hAnsi="Times New Roman" w:cs="Times New Roman"/>
          <w:sz w:val="24"/>
          <w:szCs w:val="24"/>
        </w:rPr>
        <w:t>В течение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1FD9">
        <w:rPr>
          <w:rFonts w:ascii="Times New Roman" w:eastAsia="Times New Roman" w:hAnsi="Times New Roman" w:cs="Times New Roman"/>
          <w:sz w:val="24"/>
          <w:szCs w:val="24"/>
        </w:rPr>
        <w:t xml:space="preserve"> года  сохранялась стабильная  социально-экономическая ситуация в поселении. 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11FD9" w:rsidRPr="00911FD9" w:rsidRDefault="00911FD9" w:rsidP="00B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Котикское сельское поселение включает населенные пункты: 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Котик, п. Утай, д. Красная Дубрава, д. Заусаева, д. Малый </w:t>
      </w:r>
      <w:proofErr w:type="spell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Утайчик</w:t>
      </w:r>
      <w:proofErr w:type="spell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FD9" w:rsidRPr="00911FD9" w:rsidRDefault="00911FD9" w:rsidP="00B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за первое полугодие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присутствует снижение естественной убыли населения. Данная тенденция сохранится до конца года.</w:t>
      </w:r>
    </w:p>
    <w:p w:rsidR="00911FD9" w:rsidRPr="00911FD9" w:rsidRDefault="00911FD9" w:rsidP="00B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поселении присутствует временный приток населения, примерно 10,8 человек на 1 000 населения.</w:t>
      </w:r>
    </w:p>
    <w:p w:rsidR="00911FD9" w:rsidRPr="00911FD9" w:rsidRDefault="00911FD9" w:rsidP="00B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учётом запланированного поэтапного повышения заработной платы в отраслях культурной сферы для достижения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22D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значений (индикаторов) соотношения средней заработной платы работников учреждений, повышение оплаты труда которых предусмотрено указами Президента РФ и в реальном секторе экономики – стабильным финансово-экономическим положением организаций на фоне роста эффективности из деятельности прогнозируется рост заработной платы в целом на уровне 4,7 %.</w:t>
      </w:r>
      <w:proofErr w:type="gramEnd"/>
    </w:p>
    <w:p w:rsidR="00911FD9" w:rsidRPr="00911FD9" w:rsidRDefault="00911FD9" w:rsidP="00B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оцениваемого повышения величины прожиточного минимума на душу населения до </w:t>
      </w:r>
      <w:r w:rsidR="00B22D28">
        <w:rPr>
          <w:rFonts w:ascii="Times New Roman" w:eastAsia="Times New Roman" w:hAnsi="Times New Roman" w:cs="Times New Roman"/>
          <w:sz w:val="24"/>
          <w:szCs w:val="24"/>
          <w:lang w:eastAsia="ru-RU"/>
        </w:rPr>
        <w:t>10 544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рубля, 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общей динамики потребительских цен покупательная 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заработной платы увеличится</w:t>
      </w:r>
      <w:proofErr w:type="gram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 1,3 раза к прожиточному минимуму трудоспособного населения по сравнению с 201</w:t>
      </w:r>
      <w:r w:rsidR="00B22D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Средний размер пенсии увеличится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почти на 5% по отношению к 201</w:t>
      </w:r>
      <w:r w:rsidR="00B22D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составит 13,9 тыс. руб. и превысит величину прожиточного минимума пенсионера на 4,0 тыс. руб. или на 50,8%.</w:t>
      </w:r>
    </w:p>
    <w:p w:rsidR="00911FD9" w:rsidRPr="00911FD9" w:rsidRDefault="00911FD9" w:rsidP="00B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более высокий рост цен на продукты питания, промышленные товары и тарифов на коммунальные услуги в первом полугодии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одновременном росте денежных доходов населения, доля бедного населения в первом полугодии незначительно уменьшится по сравн</w:t>
      </w:r>
      <w:r w:rsidR="00B22D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аналогичным периодом 2017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на уровне 12%. </w:t>
      </w:r>
    </w:p>
    <w:p w:rsidR="00911FD9" w:rsidRPr="00911FD9" w:rsidRDefault="00911FD9" w:rsidP="00DE0339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2.2. Финансы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Доходная часть бюджета Котикского сельского поселения по собственным доходным источникам по состоянию на 01 ноября 2018 года выполнена на 86,6 %, при годовом  плане 3 740,4 тыс. </w:t>
      </w:r>
      <w:proofErr w:type="spellStart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бюджет поселения поступило  3 514,6 тыс. </w:t>
      </w:r>
      <w:proofErr w:type="spellStart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в том числе: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налог на доходы физических лиц  1000,4 тыс. руб.;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акцизы по подакцизным товарам (дорожный фонд)   2 276,5 тыс. руб.;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налог на имущество физических лиц – 9,0тыс. руб.;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земельный налог  221,2 тыс. руб.;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госпошлина за совершение нотариальных действий  6,2 тыс. руб.;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доходы от оказания платных услуг  17,4 тыс. руб.;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 доходы от компенсации затрат государства  1,9 тыс. руб.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 источником доходов является доход от </w:t>
      </w: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акцизов по подакцизным товарам (дорожный </w:t>
      </w:r>
      <w:proofErr w:type="gramStart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фонд) </w:t>
      </w:r>
      <w:proofErr w:type="gramEnd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он исполнен в сумме 2 276,5 тыс. рублей, что составляет 88,7 % от годового плана.</w:t>
      </w:r>
    </w:p>
    <w:p w:rsidR="00DE0339" w:rsidRPr="00DE0339" w:rsidRDefault="00DE0339" w:rsidP="00DE03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sz w:val="24"/>
          <w:szCs w:val="24"/>
          <w:lang w:eastAsia="ru-RU"/>
        </w:rPr>
        <w:t>Недоимка по платежам в бюджет Котикского муниципального образования по состоянию на 01.11.2018 г. по сравнению с данными на 01.11.2017 г.:</w:t>
      </w:r>
    </w:p>
    <w:p w:rsidR="00DE0339" w:rsidRPr="00DE0339" w:rsidRDefault="00DE0339" w:rsidP="00DE03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 налогу на имущество физических лиц </w:t>
      </w:r>
      <w:r w:rsidRPr="00DE0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увеличилась</w:t>
      </w:r>
      <w:r w:rsidRPr="00DE0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на 13,4 тыс. руб.;</w:t>
      </w:r>
    </w:p>
    <w:p w:rsidR="00DE0339" w:rsidRPr="00DE0339" w:rsidRDefault="00DE0339" w:rsidP="00DE03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 земельному налогу  </w:t>
      </w:r>
      <w:r w:rsidRPr="00DE0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сократилась </w:t>
      </w:r>
      <w:r w:rsidRPr="00DE0339">
        <w:rPr>
          <w:rFonts w:ascii="Times New Roman" w:eastAsia="Courier New" w:hAnsi="Times New Roman" w:cs="Times New Roman"/>
          <w:sz w:val="24"/>
          <w:szCs w:val="24"/>
          <w:lang w:eastAsia="ru-RU"/>
        </w:rPr>
        <w:t>на 10,3 тыс. руб.</w:t>
      </w:r>
    </w:p>
    <w:p w:rsidR="00DE0339" w:rsidRPr="00DE0339" w:rsidRDefault="00DE0339" w:rsidP="00DE03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Для увеличения доходной базы и снижения недоимки по имущественным налогам и налогам на землю администрацией Котикского сельского поселения проводятся следующие мероприятия: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проводятся работы по установлению фактического проживания отдельных налогоплательщиков для обеспечения вручения им налоговых уведомлений и платежных документов;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запрашивается информация в филиале ФГБУ «Федеральная кадастровая палата </w:t>
      </w:r>
      <w:proofErr w:type="spellStart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по Иркутской области для установления правообладателей земельных участков, здании, помещении для регистрации </w:t>
      </w:r>
    </w:p>
    <w:p w:rsidR="00DE0339" w:rsidRPr="00DE0339" w:rsidRDefault="00DE0339" w:rsidP="00DE033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ранее возникших прав;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оказывается содействие жителям поселения в оформлении прав на земельные участки и объекты недвижимости;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проводится работа по обеспечению полноты учета земельных участков для целей налогообложения, и включения объектов недвижимости в ФИАС.</w:t>
      </w:r>
    </w:p>
    <w:p w:rsidR="00DE0339" w:rsidRPr="00DE0339" w:rsidRDefault="00DE0339" w:rsidP="00DE033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E0339" w:rsidRPr="00DE0339" w:rsidRDefault="00DE0339" w:rsidP="00DE033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DE03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муниципального земельного контроля</w:t>
      </w:r>
      <w:bookmarkEnd w:id="0"/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2018 году проведение муниципального земельного контроля в отношении юридических лиц и индивидуальных предпринимателей запланировано не было на основании Федерального закона «О защите прав юридических лиц и индивидуальных предпринимателей...».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отношении физических лиц запланировано не было.</w:t>
      </w:r>
    </w:p>
    <w:p w:rsidR="00DE0339" w:rsidRPr="00DE0339" w:rsidRDefault="00DE0339" w:rsidP="00DE0339">
      <w:pPr>
        <w:widowControl w:val="0"/>
        <w:spacing w:after="0" w:line="240" w:lineRule="auto"/>
        <w:ind w:firstLine="851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Мероприятия по вовлечению в оборот земель сельскохозяйственного назначения, </w:t>
      </w:r>
      <w:bookmarkStart w:id="1" w:name="bookmark1"/>
      <w:r w:rsidRPr="00DE03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находящихся в общей долевой собственности</w:t>
      </w:r>
      <w:bookmarkEnd w:id="1"/>
    </w:p>
    <w:p w:rsidR="00DE0339" w:rsidRPr="00DE0339" w:rsidRDefault="00DE0339" w:rsidP="00DE0339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Администрацией Котикского сельского поселения проводится работа по </w:t>
      </w: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признанию права муниципальной собственности на земельные участки, выделенные в счет невостребованных земельных долей.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Общее количество пайщиков нашего поселения 244 человека, из них 7 самостоятельно оформили свои паи. Были проведены все мероприятия по регистрации права собственности за администрацией на данные земельные доли. Далее данные земли были переданы в собственность либо в аренду физическим лицам </w:t>
      </w:r>
      <w:proofErr w:type="gramStart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«Монолит». Таким </w:t>
      </w:r>
      <w:proofErr w:type="gramStart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2018 году было передано в аренду </w:t>
      </w:r>
      <w:smartTag w:uri="urn:schemas-microsoft-com:office:smarttags" w:element="metricconverter">
        <w:smartTagPr>
          <w:attr w:name="ProductID" w:val="924 га"/>
        </w:smartTagPr>
        <w:r w:rsidRPr="00DE0339">
          <w:rPr>
            <w:rFonts w:ascii="Times New Roman" w:eastAsia="Courier New" w:hAnsi="Times New Roman" w:cs="Times New Roman"/>
            <w:color w:val="000000"/>
            <w:sz w:val="24"/>
            <w:szCs w:val="24"/>
            <w:lang w:eastAsia="ru-RU"/>
          </w:rPr>
          <w:t>924 га</w:t>
        </w:r>
      </w:smartTag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 земель сельхоз назначения ООО «Монолит».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DE03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 мероприятиях по увеличению поступления в бюджет сельского поселения доходов от оказания платных услуг</w:t>
      </w:r>
      <w:bookmarkEnd w:id="2"/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 плану общая сумма доходов от оказания платных услуг за 2018 год составляет 33 тысячи рублей, по состоянию на 01.10.2018 года данный план выполнен в сумме 20,6 тысяч рублей, что составляет 62,42% от годового плана. В прошлом году план дохода от платных услуг был </w:t>
      </w:r>
      <w:proofErr w:type="gramStart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таким-же</w:t>
      </w:r>
      <w:proofErr w:type="gramEnd"/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на конец года выполнен на 100%.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E0339" w:rsidRPr="00DE0339" w:rsidRDefault="00DE0339" w:rsidP="00DE033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DE03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5. О заключении соглашений о социально-экономическом сотрудничестве</w:t>
      </w:r>
      <w:bookmarkEnd w:id="3"/>
    </w:p>
    <w:p w:rsidR="00DE0339" w:rsidRPr="00DE0339" w:rsidRDefault="00DE0339" w:rsidP="00DE033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Администрацией Котикского сельского поселения заключены соглашения о социально-экономическом сотрудничестве с ООО «Монолит</w:t>
      </w: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до января 2020 года.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На стадии подготовки: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Магазин ИП «Титова С.В.» оказывала помощь в размере 3000 рублей на проведение культурно-массовых мероприятий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Магазин ИП «Сереброва И.В.» оказывала помощь в размере 3000 рублей на проведение культурно-массовых мероприятий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Магазин «Два шага» ИП «Ермолаев В.В.» оказывал помощь в размере 5000 рублей на проведение культурно-массовых мероприятий.</w:t>
      </w:r>
    </w:p>
    <w:p w:rsidR="00DE0339" w:rsidRPr="00DE0339" w:rsidRDefault="00DE0339" w:rsidP="00DE033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E0339" w:rsidRPr="00DE0339" w:rsidRDefault="00DE0339" w:rsidP="00DE033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 проведенной работе с индивидуальными предпринимателями и юридическими лицами, осуществляющими свою деятельность на территории поселения без уплаты в бюджет налога на доходы физических лиц.</w:t>
      </w:r>
    </w:p>
    <w:p w:rsidR="00DE0339" w:rsidRPr="00DE0339" w:rsidRDefault="00DE0339" w:rsidP="00DE03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DE0339" w:rsidRPr="00DE0339" w:rsidRDefault="00DE0339" w:rsidP="00DE03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11 торговых точек обслуживают население Котикского сельского поселения: </w:t>
      </w:r>
      <w:proofErr w:type="gramStart"/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DE0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с. Котик</w:t>
      </w: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: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Магазин «Дарья» ИП «Фишер Н.А.» 2 продавца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Киоск «Марина» 2 продавца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Киоск «</w:t>
      </w:r>
      <w:proofErr w:type="spellStart"/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Лавъка</w:t>
      </w:r>
      <w:proofErr w:type="spellEnd"/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» 1продавец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Магазин «Два шага» ИП «Ермолаев В.В.» 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Магазин ИП «Титова С.В.» 2 продавца 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Магазин «</w:t>
      </w:r>
      <w:proofErr w:type="spellStart"/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Рябинушка</w:t>
      </w:r>
      <w:proofErr w:type="spellEnd"/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» ИП «Степанов» 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Магазин ИП «Сереброва И.В.» </w:t>
      </w:r>
    </w:p>
    <w:p w:rsidR="00DE0339" w:rsidRPr="00DE0339" w:rsidRDefault="00DE0339" w:rsidP="00DE03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В </w:t>
      </w:r>
      <w:r w:rsidRPr="00DE0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п. Утай: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1 магазин  «Колосок» 1 продавец</w:t>
      </w:r>
    </w:p>
    <w:p w:rsidR="00DE0339" w:rsidRPr="00DE0339" w:rsidRDefault="00DE0339" w:rsidP="00DE0339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В д. Заусаева</w:t>
      </w:r>
    </w:p>
    <w:p w:rsidR="00DE0339" w:rsidRPr="00DE0339" w:rsidRDefault="00DE0339" w:rsidP="00DE033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E0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1 магазин 1 продавец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состоянию на 01.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0 тыс. рублей, по сравнению с просроченной кредиторской задолженностью на 01.01.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уменьшилась на 422,8 тыс. рублей.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дебиторской задолженности по состоянию на 01.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бюджет Котикского муниципального образования не имеет.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Котикского муниципального образования по состоянию на 01.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учреждений и мероприятий в течение 1 полугодия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произведено в пределах выделенных бюджетных ассигнований, утвержденных решением Думы Котикского сельского поселения №2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учетом  изменений.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получаемых из областного бюджета по оценке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незначительно увеличится</w:t>
      </w:r>
      <w:proofErr w:type="gram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2,0 %, по большей части за счет предоставления целевых субсидий. 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2.3. Производство товаров и услуг.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предприятий можно отнести: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Будаговское</w:t>
      </w:r>
      <w:proofErr w:type="spell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2.4. Рынок товаров и услуг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платежеспособности населения, обеспечение реальных денежных доходов, развитие потребительского рынка в 201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способствует ускоренному снижению потребительского спроса населения.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рост оборота розничной торговли незначительно увеличился по сравнению к соответствующему периоду прошлого года.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года развитие потребительского рынка будет сдерживаться сохранением темпов инфляции, ростом коммунальных платежей и замедлением темпов роста потребительского кредитования. В итоге ожидается незначительный понижающий тренд физических объемов оборота розничной торговли до 2,4% к 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В структуре объема платных услуг населению традиционно будут преобладать коммунальные услуги, транспортные, услуги связи, жилищные услуги и бытовые услуги.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2.5. Малое и среднее предпринимательство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прогнозным данным число индивидуальных предпринимателей останется на уровне 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составит 9 зарегистрированных индивидуальных предпринимателя.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работников занятых на малых предприятиях, по оценочным данным, составит 13 чел. Таким образом, на территории Котикского муниципального образования всего в сфере малого бизнеса оценочно занято около 1% работающего населения. С учетом коэффициента семейности от развития данной отрасли зависит благополучие трети населения. По прогнозным оценкам,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численность работников занятых в сфере малого бизнеса не изменится.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90% от общего количества предприятий и почти 95% от их общего оборота.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Конкуренция в поселении слабо развита, в связи с малым наличием предприятий и отсутствием крупных торговых сетей, 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предлагающих</w:t>
      </w:r>
      <w:proofErr w:type="gram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широкий ассортимент полуфабрикатов собственного производства. 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2.6. Труд и занятость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трудоспособного возраста по предварительным данным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1325 чел. 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труда и занятости населения намечается позитивная динамика 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экономике по оценочным данным заняты в 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357 чел. В 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прогнозным данным их число составит 362 чел. Численность зарегистрированных безработных увеличивается, в связи с отсутствием потребности предприятий в рабочей силе. 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по прогнозным данным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увеличится по сравнению с </w:t>
      </w:r>
      <w:r w:rsidR="00DE033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и составит 8,5% - 9,2% к трудоспособному населению. Численность безработных, зарегис</w:t>
      </w:r>
      <w:bookmarkStart w:id="4" w:name="_GoBack"/>
      <w:bookmarkEnd w:id="4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трированных в службах занятости, в среднем за год составит </w:t>
      </w:r>
      <w:r w:rsidR="008E08D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2.7. Развитие социальной сферы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Здравоохранение 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количестве учреждений здравоохранения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прогнозируется.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функционирует 3 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пункта. Основное население посещает врачей ОГБУЗ Тулунская районная больница «Котикская врачебная амбулатория» и ОГБУЗ Тулунская района больница «1 Терапевтическое отделение» 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Котик.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этим в сфере здравоохранения наблюдается снижение показателей посещений амбулаторно-поликлинических учреждений.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Образование 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функционирует 1 средняя общеобразовательная школа, 1 основная общеобразовательная школа и 1 дошкольное учреждение.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Культура и искусство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сельского поселения предоставляет услуги по организации культурного досуга МКУК КДЦ с. Котик, услуги библиотечного и информационного обслуживания пользователей предоставляет библиотека, в структуре клубного учреждения, и </w:t>
      </w:r>
      <w:proofErr w:type="gramStart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</w:t>
      </w:r>
      <w:proofErr w:type="gramEnd"/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ведомственной подчиненности администрации Котикского муниципального образования.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Социальная защита населения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</w:t>
      </w:r>
    </w:p>
    <w:p w:rsidR="00911FD9" w:rsidRPr="00911FD9" w:rsidRDefault="00911FD9" w:rsidP="00DE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29% населения.</w:t>
      </w: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D9" w:rsidRPr="00911FD9" w:rsidRDefault="00911FD9" w:rsidP="00911F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социально-экономического развития Котикского сельского</w:t>
      </w:r>
      <w:bookmarkStart w:id="5" w:name="RANGE!A1:F152"/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bookmarkEnd w:id="5"/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436"/>
      </w:tblGrid>
      <w:tr w:rsidR="00911FD9" w:rsidRPr="00911FD9" w:rsidTr="00911FD9">
        <w:trPr>
          <w:trHeight w:val="31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Динамика,%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2018г.</w:t>
            </w:r>
          </w:p>
        </w:tc>
      </w:tr>
      <w:tr w:rsidR="00911FD9" w:rsidRPr="00911FD9" w:rsidTr="00911FD9">
        <w:trPr>
          <w:trHeight w:val="96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период прошлого  года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FD9" w:rsidRPr="00911FD9" w:rsidTr="00911FD9">
        <w:trPr>
          <w:trHeight w:val="375"/>
        </w:trPr>
        <w:tc>
          <w:tcPr>
            <w:tcW w:w="97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развития МО</w:t>
            </w:r>
          </w:p>
        </w:tc>
      </w:tr>
      <w:tr w:rsidR="00911FD9" w:rsidRPr="00911FD9" w:rsidTr="00911FD9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Выручка от реализации продукции, услуг (в действующих ценах) - всего, в том числе по видам  экономической деятельности: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6940,00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7150,00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(с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911FD9" w:rsidRPr="00911FD9" w:rsidTr="00911FD9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электроэнергии, газа и воды**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4240,50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1668,60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1748,50</w:t>
            </w:r>
          </w:p>
        </w:tc>
      </w:tr>
      <w:tr w:rsidR="00911FD9" w:rsidRPr="00911FD9" w:rsidTr="00911FD9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Прибыль прибыльно работающих предприятий (с КФХ) (без филиала КВСУ)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млн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Убыток (без филиала КВСУ)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Доля  прибыльных предприятий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91,90</w:t>
            </w:r>
          </w:p>
        </w:tc>
      </w:tr>
      <w:tr w:rsidR="00911FD9" w:rsidRPr="00911FD9" w:rsidTr="00911FD9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Доля убыточных предприятий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8,10</w:t>
            </w:r>
          </w:p>
        </w:tc>
      </w:tr>
      <w:tr w:rsidR="00911FD9" w:rsidRPr="00911FD9" w:rsidTr="00911FD9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 по налогам и сборам в консолидированный местный бюджет (сумма бюджетов муниципального района и городских  и сельских поселений)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5011,7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2156,40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5011,7</w:t>
            </w:r>
          </w:p>
        </w:tc>
      </w:tr>
      <w:tr w:rsidR="00911FD9" w:rsidRPr="00911FD9" w:rsidTr="00911FD9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1408,00</w:t>
            </w:r>
          </w:p>
        </w:tc>
      </w:tr>
      <w:tr w:rsidR="00911FD9" w:rsidRPr="00911FD9" w:rsidTr="00911FD9">
        <w:trPr>
          <w:trHeight w:val="420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 физического объема промышленного производства (C+D+E):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Добыча полезных ископаемых (С)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Объем отгруженных товаров собственного производства, выполненных работ и </w:t>
            </w: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Обрабатывающие производства (D)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13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Производство и распределение электроэнергии, газа и воды (Е)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Сельское хозяйство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Валовый выпуск продукции в </w:t>
            </w:r>
            <w:proofErr w:type="spellStart"/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сельхозорганизация</w:t>
            </w:r>
            <w:proofErr w:type="spellEnd"/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КФХ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17302,30</w:t>
            </w:r>
          </w:p>
        </w:tc>
      </w:tr>
      <w:tr w:rsidR="00911FD9" w:rsidRPr="00911FD9" w:rsidTr="00911FD9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Индекс физического  объема в </w:t>
            </w:r>
            <w:proofErr w:type="spellStart"/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КФХ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Строительство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Объем работ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Введено жилья на душу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Транспорт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т/км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пас/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Торговля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Розничный товарооборот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4150,10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Индекс физического 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7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Малый бизнес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действующих малых предприятий (с КФХ) - 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D9" w:rsidRPr="00911FD9" w:rsidTr="00911FD9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Удельный вес выручки предприятий малого  бизнеса в выручке в целом по МО (с ИП и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 инвестиций в  основной капитал за счет всех источников финансирования: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75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Демографические процессы</w:t>
            </w:r>
          </w:p>
        </w:tc>
      </w:tr>
      <w:tr w:rsidR="00911FD9" w:rsidRPr="00911FD9" w:rsidTr="00911FD9">
        <w:trPr>
          <w:trHeight w:val="12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Коэффициент естественного прироста (убыли) населения (разница  между числом родившихся человек  на 1000 человек населения и числом  умерших человек на  1000 человек населения)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Половая структура населения: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Возрастная структура населения: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911FD9" w:rsidRPr="00911FD9" w:rsidTr="00911FD9">
        <w:trPr>
          <w:trHeight w:val="7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Миграция населения  (разница между числом прибывших и  числом выбывших, приток (+), отток (-)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Удельный вес численности городского населения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Удельный вес численности сельского населения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911FD9" w:rsidRPr="00911FD9" w:rsidTr="00911FD9">
        <w:trPr>
          <w:trHeight w:val="390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 ресурсы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населения - 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2363,000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2444,00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Занятые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экономике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найму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16 лет и старше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занятые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экономике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безработные граждане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911FD9" w:rsidRPr="00911FD9" w:rsidTr="00911FD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Доля занятых на малых предприятиях  в общей численности занятых в экономике - всего,  в </w:t>
            </w:r>
            <w:proofErr w:type="spellStart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по видам экономической деятельности: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(физические лица), занимающиеся предпринимательской </w:t>
            </w: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без образования юридического лица (индивидуальные предприниматели, главы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60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Уровень жизни населения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 изделий и 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безопасности, обязательное социальное страхование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том числе из общей 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работающих численность работников бюджетной сферы, финансируемой </w:t>
            </w: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из консолидированного  местного бюджета-всего,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 них по  отраслям  социальной сферы: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Среднедушевой денежный доход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372,45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415,54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363,41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404,50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безопасности, обязательное социальное страхование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15534,28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15929,90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том числе из общей </w:t>
            </w:r>
            <w:proofErr w:type="gramStart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работающих численность работников бюджетной сферы, финансируемой из консолидированного  местного бюджета - 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по  отраслям  социальной сферы: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15534,28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15929,90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15383,20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15437,40</w:t>
            </w:r>
          </w:p>
        </w:tc>
      </w:tr>
      <w:tr w:rsidR="00911FD9" w:rsidRPr="00911FD9" w:rsidTr="00911FD9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23,18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849,46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849,46</w:t>
            </w:r>
          </w:p>
        </w:tc>
      </w:tr>
      <w:tr w:rsidR="00911FD9" w:rsidRPr="00911FD9" w:rsidTr="00911FD9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Прожиточный минимум (начиная со 2 квартала, рассчитывается среднее значение за период) для трудоспособного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</w:tr>
      <w:tr w:rsidR="00911FD9" w:rsidRPr="00911FD9" w:rsidTr="00911FD9">
        <w:trPr>
          <w:trHeight w:val="3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Реальный доход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11FD9" w:rsidRPr="00911FD9" w:rsidTr="00911FD9">
        <w:trPr>
          <w:trHeight w:val="10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Покупательная способность денежных доходов работающего населения (соотношение среднедушевых денежных доходов и прожиточного минимума)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911FD9" w:rsidRPr="00911FD9" w:rsidTr="00911FD9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населения с доходами ниже прожиточного минимума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Доля населения с доходами ниже прожиточного </w:t>
            </w: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минимума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911FD9" w:rsidRPr="00911FD9" w:rsidTr="00911FD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Задолженность по заработной плате в  целом по 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FD9" w:rsidRPr="00911FD9" w:rsidTr="00911FD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44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бюджетным учреждениям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D9" w:rsidRPr="00911FD9" w:rsidRDefault="00911FD9" w:rsidP="0091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FD9" w:rsidRPr="00911FD9" w:rsidRDefault="00911FD9" w:rsidP="0091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Котикского сельского поселения </w:t>
      </w:r>
      <w:r w:rsidR="0044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91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Г.В. Пырьев</w:t>
      </w:r>
    </w:p>
    <w:p w:rsidR="00444122" w:rsidRPr="00911FD9" w:rsidRDefault="00444122">
      <w:pPr>
        <w:rPr>
          <w:rFonts w:ascii="Times New Roman" w:hAnsi="Times New Roman" w:cs="Times New Roman"/>
          <w:sz w:val="24"/>
          <w:szCs w:val="24"/>
        </w:rPr>
      </w:pPr>
    </w:p>
    <w:sectPr w:rsidR="00444122" w:rsidRPr="00911FD9" w:rsidSect="00911FD9">
      <w:pgSz w:w="11906" w:h="16838"/>
      <w:pgMar w:top="993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BEF"/>
    <w:multiLevelType w:val="hybridMultilevel"/>
    <w:tmpl w:val="388A7A8A"/>
    <w:lvl w:ilvl="0" w:tplc="EFEE3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1E72294E"/>
    <w:multiLevelType w:val="hybridMultilevel"/>
    <w:tmpl w:val="04FC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6DB"/>
    <w:multiLevelType w:val="hybridMultilevel"/>
    <w:tmpl w:val="B99E673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D9"/>
    <w:rsid w:val="003C2CB9"/>
    <w:rsid w:val="00444122"/>
    <w:rsid w:val="00445332"/>
    <w:rsid w:val="008E08D5"/>
    <w:rsid w:val="00911FD9"/>
    <w:rsid w:val="00B22D28"/>
    <w:rsid w:val="00C71D29"/>
    <w:rsid w:val="00D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FD9"/>
  </w:style>
  <w:style w:type="paragraph" w:customStyle="1" w:styleId="Oaieaaaa">
    <w:name w:val="Oaiea (aa?a)"/>
    <w:basedOn w:val="a"/>
    <w:rsid w:val="00911F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1F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1F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FD9"/>
  </w:style>
  <w:style w:type="paragraph" w:customStyle="1" w:styleId="Oaieaaaa">
    <w:name w:val="Oaiea (aa?a)"/>
    <w:basedOn w:val="a"/>
    <w:rsid w:val="00911F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1F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1F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2019-01-22T01:47:00Z</dcterms:created>
  <dcterms:modified xsi:type="dcterms:W3CDTF">2019-01-22T05:34:00Z</dcterms:modified>
</cp:coreProperties>
</file>