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0D" w:rsidRDefault="004D5CB0" w:rsidP="005A1A0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5A1A0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FE4B8C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</w:rPr>
        <w:t>Котикского</w:t>
      </w:r>
      <w:proofErr w:type="spellEnd"/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5A1A0D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«01» марта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16-пг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proofErr w:type="gramStart"/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с</w:t>
      </w:r>
      <w:proofErr w:type="gramEnd"/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. </w:t>
      </w:r>
      <w:r w:rsidR="000C12C4">
        <w:rPr>
          <w:rFonts w:ascii="Times New Roman" w:hAnsi="Times New Roman" w:cs="Times New Roman"/>
          <w:b/>
          <w:spacing w:val="20"/>
          <w:sz w:val="28"/>
          <w:szCs w:val="32"/>
        </w:rPr>
        <w:t>Котик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FE4B8C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</w:t>
      </w:r>
      <w:r w:rsidRPr="0037222F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FE4B8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FE4B8C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222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FE4B8C" w:rsidRPr="0037222F" w:rsidRDefault="00FE4B8C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E4B8C">
        <w:rPr>
          <w:rFonts w:ascii="Times New Roman" w:hAnsi="Times New Roman"/>
          <w:sz w:val="28"/>
          <w:szCs w:val="28"/>
        </w:rPr>
        <w:t>Котикского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</w:t>
      </w:r>
      <w:r w:rsidR="00FE4B8C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B8C">
        <w:rPr>
          <w:rFonts w:ascii="Times New Roman" w:hAnsi="Times New Roman"/>
          <w:sz w:val="28"/>
          <w:szCs w:val="28"/>
        </w:rPr>
        <w:t>Пырьев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t xml:space="preserve">ПЛАН МЕРОПРИЯТИЙ ПО РЕАЛИЗАЦИИ СТРАТЕГИИ СОЦИАЛЬНО-ЭКОНОМИЧЕСКОГО РАЗВИТИЯ </w:t>
      </w:r>
      <w:r w:rsidR="00FE4B8C">
        <w:rPr>
          <w:rFonts w:ascii="Times New Roman" w:hAnsi="Times New Roman" w:cs="Times New Roman"/>
          <w:sz w:val="24"/>
        </w:rPr>
        <w:t xml:space="preserve">КОТИКСКОГО </w:t>
      </w:r>
      <w:r w:rsidRPr="00A161B5">
        <w:rPr>
          <w:rFonts w:ascii="Times New Roman" w:hAnsi="Times New Roman" w:cs="Times New Roman"/>
          <w:sz w:val="24"/>
        </w:rPr>
        <w:t xml:space="preserve">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4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640"/>
        <w:gridCol w:w="2427"/>
        <w:gridCol w:w="1120"/>
        <w:gridCol w:w="1159"/>
        <w:gridCol w:w="687"/>
        <w:gridCol w:w="898"/>
        <w:gridCol w:w="943"/>
        <w:gridCol w:w="850"/>
        <w:gridCol w:w="1185"/>
        <w:gridCol w:w="1134"/>
        <w:gridCol w:w="851"/>
        <w:gridCol w:w="2075"/>
      </w:tblGrid>
      <w:tr w:rsidR="00D740A2" w:rsidRPr="00D740A2" w:rsidTr="00FC4220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(в соответствующих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Экономический эффект (прибыль),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D740A2" w:rsidRPr="00D740A2" w:rsidTr="00FC4220">
        <w:trPr>
          <w:trHeight w:val="4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7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Внебюджетные средства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0A2" w:rsidRPr="00FE4B8C" w:rsidTr="005A1A0D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СТРАТЕГИИ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3143,1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53768,0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FE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FE4B8C"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Котикского</w:t>
            </w:r>
            <w:proofErr w:type="spellEnd"/>
            <w:r w:rsidR="00FE4B8C"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сельского поселения               Администрация </w:t>
            </w:r>
            <w:proofErr w:type="spellStart"/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и ее структурные подразделения (отраслевые органы)</w:t>
            </w:r>
          </w:p>
        </w:tc>
      </w:tr>
      <w:tr w:rsidR="00D740A2" w:rsidRPr="00FE4B8C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55763,4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50482,7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56120,1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148808,8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481650,0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480429,0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31569,0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5A1A0D">
        <w:trPr>
          <w:trHeight w:val="12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656714,7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638673,5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15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F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</w:t>
            </w:r>
            <w:r w:rsid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РАЗДЕЛУ: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E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Комитет по </w:t>
            </w:r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образованию администрации </w:t>
            </w:r>
            <w:proofErr w:type="spellStart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района, образовательные учреждения </w:t>
            </w:r>
            <w:proofErr w:type="spellStart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E454FA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FA" w:rsidRPr="00FE4B8C" w:rsidRDefault="00E454FA" w:rsidP="00E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237" w:rsidRPr="00B22237" w:rsidTr="005A1A0D">
        <w:trPr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452300</w:t>
            </w:r>
            <w:r w:rsidR="00FE4B8C"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5A1A0D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здания МОУ «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F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="00FA1BC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</w:t>
            </w:r>
            <w:r w:rsidR="00FE4B8C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Дошкольное, общее о дополнительное образование»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на 2019-2024 гг. Государственной программы Иркутской области «Развитие </w:t>
            </w:r>
            <w:r w:rsidR="00FE4B8C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» на 2019-2024 гг.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40A2" w:rsidRPr="00B22237" w:rsidRDefault="00E454F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района, образовательные учреждения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49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школьного автобуса для МОУ «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C4220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"Дошкольное, общее о дополнительное образование»" на 2019-2024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гг. Государственной программы Иркутской области «Развитие  образования» на 2019-2024 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муниципального района, образовательные учреждения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</w:tr>
      <w:tr w:rsidR="00B22237" w:rsidRPr="00B22237" w:rsidTr="00FC4220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4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3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КУЛЬТУРА</w:t>
            </w:r>
          </w:p>
        </w:tc>
      </w:tr>
      <w:tr w:rsidR="00B22237" w:rsidRPr="00B22237" w:rsidTr="00FC4220">
        <w:trPr>
          <w:trHeight w:val="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F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культуре, молодежной политике и спорту администрации сельских поселений; учреждения культуры.</w:t>
            </w:r>
          </w:p>
        </w:tc>
      </w:tr>
      <w:tr w:rsidR="00B22237" w:rsidRPr="00B22237" w:rsidTr="00FC4220">
        <w:trPr>
          <w:trHeight w:val="9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2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642E56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Модернизация 9-ти учреждений культуры (МКУК «Центр ремесел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района», КДЦ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Перфиловского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МО, КДЦ д. Владимировка, КДЦ С.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Бурхун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с. Котик, КДЦ с.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Едогон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Будаговского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ДЦ д. Нижний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Бурбук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, КДЦ п. Сибиряк).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«Оказание финансовой поддержки муниципальным образованием Иркутской области в сфере культуры и архивного дела» на 2019-2024гг. Государственная программа Иркутской области «Развитие культуры на 2019-2024гг.»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культуре, молодежной политике и спорту администрации сельских поселений; учреждения культуры.</w:t>
            </w: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34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6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4225C">
        <w:trPr>
          <w:trHeight w:val="145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5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4742AA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«ФИЗИЧЕСКАЯ КУЛЬТУРА И СПОРТ, МОЛОДЕЖНАЯ ПОЛИТИКА»</w:t>
            </w:r>
          </w:p>
        </w:tc>
      </w:tr>
      <w:tr w:rsidR="00B22237" w:rsidRPr="00B22237" w:rsidTr="004742AA">
        <w:trPr>
          <w:trHeight w:val="1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района; </w:t>
            </w: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Администрации сельских поселений</w:t>
            </w:r>
          </w:p>
        </w:tc>
      </w:tr>
      <w:tr w:rsidR="00B22237" w:rsidRPr="00B22237" w:rsidTr="004742AA">
        <w:trPr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хоккейного корта 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Котик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«Устойчивое развитие сельских территорий Иркутской области» на 2019-2024гг.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 Администрация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сельских поселений</w:t>
            </w: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5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146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4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2ЖИЛИЩНО-КОММУНАЛЬНОЕ ХОЗЯЙСТВО»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0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района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;К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омитет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156C8C">
        <w:trPr>
          <w:trHeight w:val="17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7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131920,0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17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Проектирование 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устройства уличного освещения населенных пунктов сельских поселений</w:t>
            </w:r>
            <w:proofErr w:type="gramEnd"/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«Государственная политика 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инивационная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FA79AB">
        <w:trPr>
          <w:trHeight w:val="2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A79AB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A79AB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уличного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освещения населенных пунктов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«Государственная политика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инивационная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</w:t>
            </w:r>
            <w:r w:rsidR="0015175F"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41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58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площадки временного накопления ТКО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5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FA79AB">
        <w:trPr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4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5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контейнерных площадок накопления твердо-коммунальных отходов населенных пунктов сельских поселения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5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5C20F7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41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54980,0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42680,0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330"/>
        </w:trPr>
        <w:tc>
          <w:tcPr>
            <w:tcW w:w="15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"ДОРОЖНАЯ ДЕЯТЕЛЬНОСТЬ"</w:t>
            </w:r>
          </w:p>
        </w:tc>
      </w:tr>
      <w:tr w:rsidR="00B22237" w:rsidRPr="005A1A0D" w:rsidTr="005A1A0D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ПОДРАЗДЕЛУ: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="00B22237"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Котикского</w:t>
            </w: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  <w:proofErr w:type="spellEnd"/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</w:tc>
      </w:tr>
      <w:tr w:rsidR="00B22237" w:rsidRPr="005A1A0D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25213,4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25570,1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5A1A0D" w:rsidTr="005A1A0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5A1A0D" w:rsidRDefault="004F3C64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53664,7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4F3C64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40523,5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A1A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20F7" w:rsidRPr="005A1A0D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Внесение изменений в генеральные планы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(полномочия сельских поселений)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72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комплексного пространственного и территориального развития Иркутской области» на 2018-2022гг</w:t>
            </w:r>
            <w:proofErr w:type="gramStart"/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района; Администрации сельских  поселений.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</w:t>
            </w:r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ий в правила землепользования и застройки </w:t>
            </w:r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сельских поселений</w:t>
            </w:r>
            <w:r w:rsidR="005C20F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(полномочия сельских поселений)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«Обеспечение комплексного пространственного и территориального развития Иркутской области» на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2018-2022гг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</w:t>
            </w:r>
            <w:r w:rsidR="005C20F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муниципального района; Администрации сельских  поселений.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2158,3</w:t>
            </w:r>
          </w:p>
          <w:p w:rsidR="0015331A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автомобильных дорог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местного значения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«Развитие инфраструктуры на территории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2881,1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2881,1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сельского поселения               </w:t>
            </w: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3698,4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3987,1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10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6D0FB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0F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1B5" w:rsidRPr="00B22237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161B5" w:rsidRPr="00B22237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CE"/>
    <w:rsid w:val="000131E8"/>
    <w:rsid w:val="000C12C4"/>
    <w:rsid w:val="0014225C"/>
    <w:rsid w:val="0015175F"/>
    <w:rsid w:val="0015331A"/>
    <w:rsid w:val="00156C8C"/>
    <w:rsid w:val="001938A8"/>
    <w:rsid w:val="002A13E6"/>
    <w:rsid w:val="003306BB"/>
    <w:rsid w:val="004742AA"/>
    <w:rsid w:val="00482D8C"/>
    <w:rsid w:val="004D5CB0"/>
    <w:rsid w:val="004F3C64"/>
    <w:rsid w:val="005A1A0D"/>
    <w:rsid w:val="005C20F7"/>
    <w:rsid w:val="005C6EE1"/>
    <w:rsid w:val="0060052D"/>
    <w:rsid w:val="00642E56"/>
    <w:rsid w:val="006D0FB7"/>
    <w:rsid w:val="006E49CE"/>
    <w:rsid w:val="0072505A"/>
    <w:rsid w:val="0081291B"/>
    <w:rsid w:val="00854633"/>
    <w:rsid w:val="009072AB"/>
    <w:rsid w:val="0095038E"/>
    <w:rsid w:val="009B6093"/>
    <w:rsid w:val="00A161B5"/>
    <w:rsid w:val="00A4757F"/>
    <w:rsid w:val="00AB0514"/>
    <w:rsid w:val="00B22237"/>
    <w:rsid w:val="00B4233F"/>
    <w:rsid w:val="00D51F19"/>
    <w:rsid w:val="00D740A2"/>
    <w:rsid w:val="00D9582E"/>
    <w:rsid w:val="00E05CA6"/>
    <w:rsid w:val="00E454FA"/>
    <w:rsid w:val="00FA1BC7"/>
    <w:rsid w:val="00FA79AB"/>
    <w:rsid w:val="00FC422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25C6-B40E-49E3-B0AB-83DA9B3B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1</cp:lastModifiedBy>
  <cp:revision>23</cp:revision>
  <cp:lastPrinted>2019-03-21T06:47:00Z</cp:lastPrinted>
  <dcterms:created xsi:type="dcterms:W3CDTF">2019-02-21T07:42:00Z</dcterms:created>
  <dcterms:modified xsi:type="dcterms:W3CDTF">2019-03-21T06:47:00Z</dcterms:modified>
</cp:coreProperties>
</file>