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9" w:rsidRPr="00022022" w:rsidRDefault="00F938A9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07.09.2021г. №39-пг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АДМИНИСТРАЦИЯ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22022">
        <w:rPr>
          <w:rFonts w:ascii="Arial" w:hAnsi="Arial" w:cs="Arial"/>
          <w:b/>
          <w:sz w:val="32"/>
          <w:szCs w:val="32"/>
        </w:rPr>
        <w:t>ПОСТАНОВЛЕНИЕ</w:t>
      </w: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14F88" w:rsidRPr="00022022" w:rsidRDefault="0082663D" w:rsidP="00A14F88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220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A14F88" w:rsidRPr="00022022">
        <w:rPr>
          <w:rFonts w:ascii="Arial" w:hAnsi="Arial" w:cs="Arial"/>
          <w:b/>
          <w:bCs/>
          <w:sz w:val="32"/>
          <w:szCs w:val="32"/>
          <w:lang w:eastAsia="ru-RU"/>
        </w:rPr>
        <w:t xml:space="preserve">О ПРОГНОЗЕ СОЦИАЛЬНО-ЭКОНОМИЧЕСКОГО РАЗВИТИЯ НА </w:t>
      </w:r>
      <w:r w:rsidR="00D0180F" w:rsidRPr="00022022">
        <w:rPr>
          <w:rFonts w:ascii="Arial" w:hAnsi="Arial" w:cs="Arial"/>
          <w:b/>
          <w:bCs/>
          <w:sz w:val="32"/>
          <w:szCs w:val="32"/>
          <w:lang w:eastAsia="ru-RU"/>
        </w:rPr>
        <w:t>2022</w:t>
      </w:r>
      <w:r w:rsidR="00A14F88" w:rsidRPr="00022022">
        <w:rPr>
          <w:rFonts w:ascii="Arial" w:hAnsi="Arial" w:cs="Arial"/>
          <w:b/>
          <w:bCs/>
          <w:sz w:val="32"/>
          <w:szCs w:val="32"/>
          <w:lang w:eastAsia="ru-RU"/>
        </w:rPr>
        <w:t xml:space="preserve"> ГОД КОТИКСКОГО МУНИЦИПАЛЬНОГО ОБРАЗОВАНИЯ ТУЛУНСКОГО РАЙОНА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соответствии со статьей 173 Бюджетного кодекса Российской Федерации, Положением о бюджетном процессе в Котикском муниципальном образовании, утвержденным решением Думы Котикского сельского поселения №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24.03.2020 года</w:t>
      </w:r>
      <w:r w:rsidRPr="00022022">
        <w:rPr>
          <w:rFonts w:ascii="Arial" w:hAnsi="Arial" w:cs="Arial"/>
          <w:sz w:val="24"/>
          <w:szCs w:val="24"/>
          <w:lang w:eastAsia="ru-RU"/>
        </w:rPr>
        <w:t>, руководствуясь Уставом Котикского муниципального образования,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22022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1. Утвердить прогноз социально-экономического развития на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 Котикского муниципального образования Тулунского района.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D0180F" w:rsidRPr="00022022" w:rsidRDefault="00A14F88" w:rsidP="0002202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D0180F" w:rsidRPr="00022022" w:rsidRDefault="00D0180F" w:rsidP="00A14F8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right"/>
        <w:rPr>
          <w:rFonts w:ascii="Courier New" w:hAnsi="Courier New" w:cs="Courier New"/>
          <w:lang w:eastAsia="ru-RU"/>
        </w:rPr>
      </w:pPr>
      <w:r w:rsidRPr="00022022">
        <w:rPr>
          <w:rFonts w:ascii="Courier New" w:hAnsi="Courier New" w:cs="Courier New"/>
          <w:lang w:eastAsia="ru-RU"/>
        </w:rPr>
        <w:t>Утвержден</w:t>
      </w:r>
    </w:p>
    <w:p w:rsidR="00A14F88" w:rsidRPr="00022022" w:rsidRDefault="00A14F88" w:rsidP="00A14F88">
      <w:pPr>
        <w:pStyle w:val="a3"/>
        <w:jc w:val="right"/>
        <w:rPr>
          <w:rFonts w:ascii="Courier New" w:hAnsi="Courier New" w:cs="Courier New"/>
          <w:lang w:eastAsia="ru-RU"/>
        </w:rPr>
      </w:pPr>
      <w:r w:rsidRPr="00022022">
        <w:rPr>
          <w:rFonts w:ascii="Courier New" w:hAnsi="Courier New" w:cs="Courier New"/>
          <w:lang w:eastAsia="ru-RU"/>
        </w:rPr>
        <w:t>постановлением администрации</w:t>
      </w:r>
    </w:p>
    <w:p w:rsidR="00A14F88" w:rsidRPr="00022022" w:rsidRDefault="00A14F88" w:rsidP="00A14F88">
      <w:pPr>
        <w:pStyle w:val="a3"/>
        <w:jc w:val="right"/>
        <w:rPr>
          <w:rFonts w:ascii="Courier New" w:hAnsi="Courier New" w:cs="Courier New"/>
          <w:lang w:eastAsia="ru-RU"/>
        </w:rPr>
      </w:pPr>
      <w:r w:rsidRPr="00022022">
        <w:rPr>
          <w:rFonts w:ascii="Courier New" w:hAnsi="Courier New" w:cs="Courier New"/>
          <w:lang w:eastAsia="ru-RU"/>
        </w:rPr>
        <w:t>Котикского муниципального образования</w:t>
      </w:r>
    </w:p>
    <w:p w:rsidR="00A14F88" w:rsidRPr="00022022" w:rsidRDefault="00A14F88" w:rsidP="00A14F88">
      <w:pPr>
        <w:pStyle w:val="a3"/>
        <w:jc w:val="right"/>
        <w:rPr>
          <w:rFonts w:ascii="Courier New" w:hAnsi="Courier New" w:cs="Courier New"/>
          <w:lang w:eastAsia="ru-RU"/>
        </w:rPr>
      </w:pPr>
      <w:r w:rsidRPr="00022022">
        <w:rPr>
          <w:rFonts w:ascii="Courier New" w:hAnsi="Courier New" w:cs="Courier New"/>
          <w:lang w:eastAsia="ru-RU"/>
        </w:rPr>
        <w:t xml:space="preserve">от </w:t>
      </w:r>
      <w:r w:rsidR="00D0180F" w:rsidRPr="00022022">
        <w:rPr>
          <w:rFonts w:ascii="Courier New" w:hAnsi="Courier New" w:cs="Courier New"/>
          <w:lang w:eastAsia="ru-RU"/>
        </w:rPr>
        <w:t>07.09.2021</w:t>
      </w:r>
      <w:r w:rsidRPr="00022022">
        <w:rPr>
          <w:rFonts w:ascii="Courier New" w:hAnsi="Courier New" w:cs="Courier New"/>
          <w:lang w:eastAsia="ru-RU"/>
        </w:rPr>
        <w:t>г. №</w:t>
      </w:r>
      <w:r w:rsidR="00D0180F" w:rsidRPr="00022022">
        <w:rPr>
          <w:rFonts w:ascii="Courier New" w:hAnsi="Courier New" w:cs="Courier New"/>
          <w:lang w:eastAsia="ru-RU"/>
        </w:rPr>
        <w:t>39</w:t>
      </w:r>
      <w:r w:rsidRPr="00022022">
        <w:rPr>
          <w:rFonts w:ascii="Courier New" w:hAnsi="Courier New" w:cs="Courier New"/>
          <w:lang w:eastAsia="ru-RU"/>
        </w:rPr>
        <w:t>-пг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22022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 социально-экономического развития на </w:t>
      </w:r>
      <w:r w:rsidR="00D0180F" w:rsidRPr="00022022">
        <w:rPr>
          <w:rFonts w:ascii="Arial" w:hAnsi="Arial" w:cs="Arial"/>
          <w:b/>
          <w:bCs/>
          <w:sz w:val="30"/>
          <w:szCs w:val="30"/>
          <w:lang w:eastAsia="ru-RU"/>
        </w:rPr>
        <w:t>2022</w:t>
      </w:r>
      <w:r w:rsidRPr="0002202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Котикского муниципального образования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>Содержание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 Показатели предварительного прогноза социально-экономического развития Котикского муниципального образования на 2019 год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2.2. Финансы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2.3. Рынок товаров и услуг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2.4. Малое и среднее предпринимательство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lastRenderedPageBreak/>
        <w:t>2.5. Инвестиции в строительство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2.6. Труд и занятость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2.7. Развитие социальной сферы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Default="00A14F88" w:rsidP="00A14F88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sz w:val="24"/>
          <w:szCs w:val="24"/>
          <w:lang w:eastAsia="ru-RU"/>
        </w:rPr>
        <w:t>1.Административно-территориальное деление</w:t>
      </w:r>
    </w:p>
    <w:p w:rsidR="00CB7ABE" w:rsidRDefault="00CB7ABE" w:rsidP="00A14F88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516"/>
        <w:gridCol w:w="1516"/>
        <w:gridCol w:w="1516"/>
        <w:gridCol w:w="1753"/>
      </w:tblGrid>
      <w:tr w:rsidR="00CB7ABE" w:rsidTr="008D0A7A">
        <w:tc>
          <w:tcPr>
            <w:tcW w:w="1595" w:type="dxa"/>
            <w:vAlign w:val="center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Наименование поселения</w:t>
            </w:r>
          </w:p>
        </w:tc>
        <w:tc>
          <w:tcPr>
            <w:tcW w:w="1595" w:type="dxa"/>
            <w:vAlign w:val="center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595" w:type="dxa"/>
            <w:vAlign w:val="center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Численность населения населенного пункта на 01.01.2021 г., чел.</w:t>
            </w:r>
          </w:p>
        </w:tc>
        <w:tc>
          <w:tcPr>
            <w:tcW w:w="1595" w:type="dxa"/>
            <w:vAlign w:val="center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Расстояние от населенного пункта до центра (</w:t>
            </w: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км</w:t>
            </w:r>
            <w:proofErr w:type="gramEnd"/>
            <w:r w:rsidRPr="00CB7ABE">
              <w:rPr>
                <w:rFonts w:ascii="Courier New" w:hAnsi="Courier New" w:cs="Courier New"/>
                <w:lang w:eastAsia="ru-RU"/>
              </w:rPr>
              <w:t>.)</w:t>
            </w:r>
          </w:p>
        </w:tc>
        <w:tc>
          <w:tcPr>
            <w:tcW w:w="1595" w:type="dxa"/>
            <w:vAlign w:val="center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Расстояние от населенного пункта до районного центра (</w:t>
            </w: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км</w:t>
            </w:r>
            <w:proofErr w:type="gramEnd"/>
            <w:r w:rsidRPr="00CB7ABE">
              <w:rPr>
                <w:rFonts w:ascii="Courier New" w:hAnsi="Courier New" w:cs="Courier New"/>
                <w:lang w:eastAsia="ru-RU"/>
              </w:rPr>
              <w:t>.)</w:t>
            </w:r>
          </w:p>
        </w:tc>
        <w:tc>
          <w:tcPr>
            <w:tcW w:w="1596" w:type="dxa"/>
            <w:vAlign w:val="center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CB7ABE" w:rsidTr="00CB7ABE">
        <w:tc>
          <w:tcPr>
            <w:tcW w:w="159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Котикское сельское поселение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9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CB7ABE">
              <w:rPr>
                <w:rFonts w:ascii="Courier New" w:hAnsi="Courier New" w:cs="Courier New"/>
                <w:lang w:eastAsia="ru-RU"/>
              </w:rPr>
              <w:t>. Котик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д. Заусаева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д. Красная Дубрава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п. Утай</w:t>
            </w:r>
          </w:p>
          <w:p w:rsidR="00CB7ABE" w:rsidRPr="00CB7ABE" w:rsidRDefault="00CB7ABE" w:rsidP="00CB7ABE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 xml:space="preserve">д. Малый </w:t>
            </w:r>
            <w:proofErr w:type="spellStart"/>
            <w:r w:rsidRPr="00CB7ABE">
              <w:rPr>
                <w:rFonts w:ascii="Courier New" w:hAnsi="Courier New" w:cs="Courier New"/>
                <w:lang w:eastAsia="ru-RU"/>
              </w:rPr>
              <w:t>Утайчик</w:t>
            </w:r>
            <w:proofErr w:type="spellEnd"/>
          </w:p>
        </w:tc>
        <w:tc>
          <w:tcPr>
            <w:tcW w:w="159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1353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339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126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510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59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4 км</w:t>
              </w:r>
            </w:smartTag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4 км</w:t>
              </w:r>
            </w:smartTag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16 км</w:t>
              </w:r>
            </w:smartTag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2 км</w:t>
              </w:r>
            </w:smartTag>
          </w:p>
        </w:tc>
        <w:tc>
          <w:tcPr>
            <w:tcW w:w="159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11 км</w:t>
              </w:r>
            </w:smartTag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7 км</w:t>
              </w:r>
            </w:smartTag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15 км</w:t>
              </w:r>
            </w:smartTag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27 км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CB7ABE">
                <w:rPr>
                  <w:rFonts w:ascii="Courier New" w:hAnsi="Courier New" w:cs="Courier New"/>
                  <w:lang w:eastAsia="ru-RU"/>
                </w:rPr>
                <w:t>13 км</w:t>
              </w:r>
            </w:smartTag>
          </w:p>
        </w:tc>
        <w:tc>
          <w:tcPr>
            <w:tcW w:w="1596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 xml:space="preserve"> маршрутный автобус (4 рейса за день)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2 рейса за день)</w:t>
            </w:r>
            <w:proofErr w:type="gramEnd"/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маршрутный автобус (2 рейса за день)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маршрутный автобус (2 рейса за день)</w:t>
            </w:r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2 рейса за день)</w:t>
            </w:r>
            <w:proofErr w:type="gramEnd"/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2 рейса за день)</w:t>
            </w:r>
            <w:proofErr w:type="gramEnd"/>
          </w:p>
        </w:tc>
      </w:tr>
    </w:tbl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sz w:val="24"/>
          <w:szCs w:val="24"/>
          <w:lang w:eastAsia="ru-RU"/>
        </w:rPr>
        <w:t>Общие показатели</w:t>
      </w:r>
    </w:p>
    <w:p w:rsidR="00A14F88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551"/>
        <w:gridCol w:w="1730"/>
        <w:gridCol w:w="1769"/>
        <w:gridCol w:w="2455"/>
      </w:tblGrid>
      <w:tr w:rsidR="00CB7ABE" w:rsidTr="00CB7ABE">
        <w:tc>
          <w:tcPr>
            <w:tcW w:w="110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№ п\</w:t>
            </w: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Показатель</w:t>
            </w:r>
          </w:p>
        </w:tc>
        <w:tc>
          <w:tcPr>
            <w:tcW w:w="1730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ед. изм.</w:t>
            </w:r>
          </w:p>
        </w:tc>
        <w:tc>
          <w:tcPr>
            <w:tcW w:w="1769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245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2022 (предварительные итоги)</w:t>
            </w:r>
          </w:p>
        </w:tc>
      </w:tr>
      <w:tr w:rsidR="00CB7ABE" w:rsidTr="00CB7ABE">
        <w:tc>
          <w:tcPr>
            <w:tcW w:w="110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55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Число сельских населенных пунктов</w:t>
            </w:r>
          </w:p>
        </w:tc>
        <w:tc>
          <w:tcPr>
            <w:tcW w:w="1730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ед.</w:t>
            </w:r>
          </w:p>
        </w:tc>
        <w:tc>
          <w:tcPr>
            <w:tcW w:w="1769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45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CB7ABE" w:rsidTr="00CB7ABE">
        <w:tc>
          <w:tcPr>
            <w:tcW w:w="110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55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 xml:space="preserve">Общая площадь земель в границах муниципального </w:t>
            </w:r>
            <w:r w:rsidRPr="00CB7ABE">
              <w:rPr>
                <w:rFonts w:ascii="Courier New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1730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lastRenderedPageBreak/>
              <w:t>га</w:t>
            </w:r>
            <w:proofErr w:type="gramEnd"/>
            <w:r w:rsidRPr="00CB7ABE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769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11334</w:t>
            </w:r>
          </w:p>
        </w:tc>
        <w:tc>
          <w:tcPr>
            <w:tcW w:w="245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11334</w:t>
            </w:r>
          </w:p>
        </w:tc>
      </w:tr>
      <w:tr w:rsidR="00CB7ABE" w:rsidTr="00CB7ABE">
        <w:tc>
          <w:tcPr>
            <w:tcW w:w="110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Территория земель населенных пунктов</w:t>
            </w:r>
          </w:p>
        </w:tc>
        <w:tc>
          <w:tcPr>
            <w:tcW w:w="1730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B7ABE">
              <w:rPr>
                <w:rFonts w:ascii="Courier New" w:hAnsi="Courier New" w:cs="Courier New"/>
                <w:lang w:eastAsia="ru-RU"/>
              </w:rPr>
              <w:t>га</w:t>
            </w:r>
            <w:proofErr w:type="gramEnd"/>
            <w:r w:rsidRPr="00CB7ABE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769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811,02</w:t>
            </w:r>
          </w:p>
        </w:tc>
        <w:tc>
          <w:tcPr>
            <w:tcW w:w="2455" w:type="dxa"/>
          </w:tcPr>
          <w:p w:rsidR="00CB7ABE" w:rsidRPr="00CB7ABE" w:rsidRDefault="00CB7ABE" w:rsidP="00675AEA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CB7ABE">
              <w:rPr>
                <w:rFonts w:ascii="Courier New" w:hAnsi="Courier New" w:cs="Courier New"/>
                <w:lang w:eastAsia="ru-RU"/>
              </w:rPr>
              <w:t>811,02</w:t>
            </w:r>
          </w:p>
        </w:tc>
      </w:tr>
    </w:tbl>
    <w:p w:rsidR="00CB7ABE" w:rsidRPr="00022022" w:rsidRDefault="00CB7ABE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sz w:val="24"/>
          <w:szCs w:val="24"/>
          <w:lang w:eastAsia="ru-RU"/>
        </w:rPr>
        <w:t xml:space="preserve">2. Показатели предварительного прогноза социально-экономического развития Котикского муниципального образования Тулунского района на </w:t>
      </w:r>
      <w:r w:rsidR="00D0180F" w:rsidRPr="00022022">
        <w:rPr>
          <w:rFonts w:ascii="Arial" w:hAnsi="Arial" w:cs="Arial"/>
          <w:bCs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bCs/>
          <w:sz w:val="24"/>
          <w:szCs w:val="24"/>
          <w:lang w:eastAsia="ru-RU"/>
        </w:rPr>
        <w:t xml:space="preserve"> год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Предварительный прогноз разработан на вариантной основе - </w:t>
      </w:r>
      <w:r w:rsidRPr="00022022">
        <w:rPr>
          <w:rFonts w:ascii="Arial" w:hAnsi="Arial" w:cs="Arial"/>
          <w:iCs/>
          <w:sz w:val="24"/>
          <w:szCs w:val="24"/>
          <w:lang w:eastAsia="ru-RU"/>
        </w:rPr>
        <w:t>вариант I (консервативный) и вариант II (умеренно оптимистичный).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Варианты прогноза разработаны </w:t>
      </w: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исходя из единой гипотезы внешних и внутренних условий и различаются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 xml:space="preserve"> эффективностью реализации государственной политики.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 xml:space="preserve">Первый </w:t>
      </w:r>
      <w:r w:rsidRPr="00022022">
        <w:rPr>
          <w:rFonts w:ascii="Arial" w:hAnsi="Arial" w:cs="Arial"/>
          <w:sz w:val="24"/>
          <w:szCs w:val="24"/>
          <w:lang w:eastAsia="ru-RU"/>
        </w:rPr>
        <w:t>вариант предусматривает прогноз, исходя из предположений, что в развитии экономики, социальной инфраструктуры и местного бюджета сохранятся инерционные (имеющие) тенденции в связи с малой динамичностью изменения (или даже ухудшения) условий их протекания.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22022">
        <w:rPr>
          <w:rFonts w:ascii="Arial" w:hAnsi="Arial" w:cs="Arial"/>
          <w:iCs/>
          <w:sz w:val="24"/>
          <w:szCs w:val="24"/>
          <w:lang w:eastAsia="ru-RU"/>
        </w:rPr>
        <w:t xml:space="preserve">Второй </w:t>
      </w:r>
      <w:r w:rsidRPr="00022022">
        <w:rPr>
          <w:rFonts w:ascii="Arial" w:hAnsi="Arial" w:cs="Arial"/>
          <w:sz w:val="24"/>
          <w:szCs w:val="24"/>
          <w:lang w:eastAsia="ru-RU"/>
        </w:rPr>
        <w:t>вариант разработки прогноза предполагает, что в прогнозируемом периоде произойдут положительные изменения в финансовой и экономической сферах муниципального образования (повысится доходная база бюджета), в секторе малого и среднего предпринимательства, на рынке труда и т.д.) за счет активной муниципальной экономической политики.</w:t>
      </w:r>
      <w:proofErr w:type="gramEnd"/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>Второй (умеренно оптимистичный)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вариант предлагается в качестве основного для разработки прогноза социально-экономического развития на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 и проекта местного бюджета на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прогнозном периоде демографическая ситуация в поселении останется без существенных изменений. Так же будет присутствовать миграционный приток трудоспособного населения, увеличение доли лиц старших возрастов, что влечет увеличение смертности, повышение рождаемости.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результате прогнозируется увеличение постоянно проживающего населения на 8% что составит 2490 человек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будет продолжена позитивная динамика роста заработной платы в бюджетном секторе экономики, но с понижательным трендом в связи с замедлением ее роста в реальном секторе экономики, где динамика заработной платы постепенно будет приближаться к темпам роста производительности труда.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В итоге, с учетом предусмотренного комплекса мер по повышению уровня оплаты труда в бюджетной сфере, в том числе по реорганизации неэффективных учреждений, и целевых ее значений установленных для отдельных категорий работников в «дорожных картах» позволят увеличить заработную плату в этой сфере примерно на 20,0%. Прогнозируемый рост включает в себя как бюджетные, так и частные источники финансирования.</w:t>
      </w:r>
      <w:proofErr w:type="gramEnd"/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итоге реальная заработная плата по муниципальному образованию увеличиться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примерно на 3,0%.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Прогнозируется индексация пенсии с 1 февраля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года с учетом прожиточного минимума пенсионера, установленного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2.2. Финансы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lastRenderedPageBreak/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в соответствии с прогнозом развития отраслей экономики поселения и сохранением налоговых условий прогнозируется рост финансовых ресурсов, собранных на территории поселения, по отношению к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 xml:space="preserve">Вместе с тем рост собственных налоговых и неналоговых доходов бюджета муниципального образования по отношению к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ожидается с увеличением на 5,0%. Однако увеличения налоговых и неналоговых доходов будет недостаточно для покрытия роста расходов, направляемых в том числе, на реализацию указов Президента Российской Федерации от 07.05.2012 №№596 - 602 и №606, от 01.06.2012 №761 и от 28.12.2012 №1688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>, предусматривающих решение неотложных проблем экономического и социального развития, модернизацию социальной сферы и жилищно-коммунального хозяйства, развитие инфраструктуры, развитие села.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прогнозе бюджета муниципального образования на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 проиндексированы расходные обязательства муниципального образования </w:t>
      </w: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>: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оплату коммунальных услуг на 10,0 %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году;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Таким образом, бюджетные ассигнования на исполнение расходных обязательств по основным социальным выплатам и заработной плате в прогнозе бюджета муниципального образования на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 запланированы на уровне, превышающем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Только на повышение уровня оплаты труда (с начислениями на оплату труда) работников бюджетной сферы дополнительная потребность в средствах на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Доля расходов на оплату труда и начисления в расходах бюджета муниципального образования в прогнозном периоде возрастет и составит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– 30,4% против 23,3%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прогнозируется дефицит бюджета муниципального образования, сбалансированность бюджета будет достигнута только за счет заимствований.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2.3. Рынок товаров и услуг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прогнозном периоде факторами поддержки развития потребительского рынка и спроса на нем будут являться: рост денежных доходов населения, замедление темпов инфляции, рост потребительского кредитования банками, а также усиление конкуренции, в частности за счет открытия нового магазина.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Вместе с тем, учитывая сдержанный темп роста денежных доходов населения, прирост оборота розничной </w:t>
      </w: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торговли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 xml:space="preserve"> прогнозируется в нисходящей динамике.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Наиболее быстрыми темпами будут расти продажи промышленных товаров за счет увеличения объемов кредитования. Тем самым в прогнозируемом периоде продолжиться постепенное увеличение доли промышленных товаров в структуре оборота розничной торговли.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Замедление темпов роста денежных доходов населения незначительно могут оказать сдерживающее воздействие на рост физических объемов оборота розничной торговли и платных услуг населению - на 0,5 и 0,27%.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2.4. Малое и среднее предпринимательство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Изменение в количестве предприятий малого и среднего предпринимательства не прогнозируются, и остаются на уровне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года. Так же не изменится численность работников занятых в сфере малого бизнеса.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lastRenderedPageBreak/>
        <w:t>2.5. Инвестиции в строительство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также как и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основными источниками финансирования инвестиций в основной капитал будут являться собственные средства организаций. Можно предположить вложение инвестиций из средств бюджета всех уровней на строительство школы и детского сада.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2.6. Труд и занятость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численность занятых в экономике увеличится в среднем на 10 человек к уровню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Уровень безработицы, незначительно будет уменьшаться и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составит 5</w:t>
      </w: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3.7.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bCs/>
          <w:iCs/>
          <w:sz w:val="24"/>
          <w:szCs w:val="24"/>
          <w:lang w:eastAsia="ru-RU"/>
        </w:rPr>
        <w:t>Развитие социальной сферы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>Здравоохранение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сфере здравоохранения прогнозируется увеличение объема амбулаторно-поликлинической помощи и усиление мер по профилактике заболеваний.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Эффективность использования финансовых, материально-технических и технологических ресурсов позволит увеличить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показатель мощности амбулаторно-поликлинического учреждения.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прогнозном периоде численность среднего медицинского персонала не изменится и останется на уровне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года в количестве 7 специалистов.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>Образование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на фоне увеличения численности детей дошкольного возраста, обусловленной увеличением рождаемости в предыдущие годы, будет наблюдаться востребованность в наличии свободных мест в дошкольном учреждении. Численность детей в дошкольном образовательном учреждении составит 55 детей (90,0% к уровню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года). За счет увеличения числа обучающихся начальных классов будут увеличены темпы снижения численности учащихся общеобразовательного учреждения. В итоге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численность учащихся составит 220 человек (86,5% к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году).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>Культура и искусство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</w:t>
      </w: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предусматривающая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 xml:space="preserve"> в том числе оптимизацию сети учреждений культуры, а также поэтапное повышение заработной платы работников культуры для достижения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значений (индикаторов) соотношения средней заработной платы в регионе.</w:t>
      </w:r>
    </w:p>
    <w:p w:rsidR="00A14F88" w:rsidRPr="00022022" w:rsidRDefault="00A14F88" w:rsidP="00A14F8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>В итоге на фоне прогнозируемого увеличения численности постоянно проживающего населения показатель обеспеченности учреждениями культурно-</w:t>
      </w:r>
      <w:r w:rsidRPr="00022022">
        <w:rPr>
          <w:rFonts w:ascii="Arial" w:hAnsi="Arial" w:cs="Arial"/>
          <w:sz w:val="24"/>
          <w:szCs w:val="24"/>
          <w:lang w:eastAsia="ru-RU"/>
        </w:rPr>
        <w:lastRenderedPageBreak/>
        <w:t xml:space="preserve">досугового типа увеличится к уровню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года, показатель обеспеченности библиотеками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по сравнению с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2021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годом останется без изменений.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F88" w:rsidRPr="00022022" w:rsidRDefault="00A14F88" w:rsidP="00A14F88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22022">
        <w:rPr>
          <w:rFonts w:ascii="Arial" w:hAnsi="Arial" w:cs="Arial"/>
          <w:iCs/>
          <w:sz w:val="24"/>
          <w:szCs w:val="24"/>
          <w:lang w:eastAsia="ru-RU"/>
        </w:rPr>
        <w:t>Социальная защита населения</w:t>
      </w:r>
    </w:p>
    <w:p w:rsidR="00A14F88" w:rsidRPr="00022022" w:rsidRDefault="00A14F88" w:rsidP="00A14F8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E3E48" w:rsidRPr="00022022" w:rsidRDefault="00A14F88" w:rsidP="00CB7A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022">
        <w:rPr>
          <w:rFonts w:ascii="Arial" w:hAnsi="Arial" w:cs="Arial"/>
          <w:sz w:val="24"/>
          <w:szCs w:val="24"/>
          <w:lang w:eastAsia="ru-RU"/>
        </w:rPr>
        <w:t xml:space="preserve">Изменений в сфере социальной защиты населения не прогнозируется. По прогнозным оценкам в </w:t>
      </w:r>
      <w:r w:rsidR="00D0180F" w:rsidRPr="00022022">
        <w:rPr>
          <w:rFonts w:ascii="Arial" w:hAnsi="Arial" w:cs="Arial"/>
          <w:sz w:val="24"/>
          <w:szCs w:val="24"/>
          <w:lang w:eastAsia="ru-RU"/>
        </w:rPr>
        <w:t>2022</w:t>
      </w:r>
      <w:r w:rsidRPr="00022022">
        <w:rPr>
          <w:rFonts w:ascii="Arial" w:hAnsi="Arial" w:cs="Arial"/>
          <w:sz w:val="24"/>
          <w:szCs w:val="24"/>
          <w:lang w:eastAsia="ru-RU"/>
        </w:rPr>
        <w:t xml:space="preserve"> году число койко-ме</w:t>
      </w:r>
      <w:proofErr w:type="gramStart"/>
      <w:r w:rsidRPr="00022022">
        <w:rPr>
          <w:rFonts w:ascii="Arial" w:hAnsi="Arial" w:cs="Arial"/>
          <w:sz w:val="24"/>
          <w:szCs w:val="24"/>
          <w:lang w:eastAsia="ru-RU"/>
        </w:rPr>
        <w:t>ст в ст</w:t>
      </w:r>
      <w:proofErr w:type="gramEnd"/>
      <w:r w:rsidRPr="00022022">
        <w:rPr>
          <w:rFonts w:ascii="Arial" w:hAnsi="Arial" w:cs="Arial"/>
          <w:sz w:val="24"/>
          <w:szCs w:val="24"/>
          <w:lang w:eastAsia="ru-RU"/>
        </w:rPr>
        <w:t>ационарном учреждении социального обслуживания останется на прежнем уровне (25).</w:t>
      </w:r>
      <w:bookmarkStart w:id="0" w:name="_GoBack"/>
      <w:bookmarkEnd w:id="0"/>
    </w:p>
    <w:sectPr w:rsidR="00EE3E48" w:rsidRPr="000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8"/>
    <w:rsid w:val="00022022"/>
    <w:rsid w:val="001E3751"/>
    <w:rsid w:val="0082663D"/>
    <w:rsid w:val="00A14F88"/>
    <w:rsid w:val="00CB7ABE"/>
    <w:rsid w:val="00D0180F"/>
    <w:rsid w:val="00E133AE"/>
    <w:rsid w:val="00EE3E48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8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8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2021-09-27T03:18:00Z</cp:lastPrinted>
  <dcterms:created xsi:type="dcterms:W3CDTF">2021-09-27T02:43:00Z</dcterms:created>
  <dcterms:modified xsi:type="dcterms:W3CDTF">2021-09-30T03:31:00Z</dcterms:modified>
</cp:coreProperties>
</file>