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7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22.08.2018Г. №8</w:t>
      </w:r>
    </w:p>
    <w:p w:rsidR="00615957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7EE9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ИРКУТСКАЯ ОБЛАСТЬ</w:t>
      </w:r>
    </w:p>
    <w:p w:rsidR="00A17EE9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17EE9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17EE9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ДУМА</w:t>
      </w:r>
    </w:p>
    <w:p w:rsidR="00A17EE9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РЕШЕНИЕ</w:t>
      </w:r>
    </w:p>
    <w:p w:rsidR="00615957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17EE9" w:rsidRPr="00615957" w:rsidRDefault="00615957" w:rsidP="006159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15957">
        <w:rPr>
          <w:rFonts w:ascii="Arial" w:hAnsi="Arial" w:cs="Arial"/>
          <w:b/>
          <w:sz w:val="32"/>
          <w:szCs w:val="32"/>
        </w:rPr>
        <w:t>«ОБ УТВЕРЖДЕНИИ ПРОГРАММЫ КОМПЛЕКСНОГО РАЗВИТИЯ СИСТЕМ КОММУНАЛЬНОЙ ИНФРАСТРУКТУРЫ КОТИКСКОГО МУНИЦИПАЛЬНОГО ОБРАЗОВАНИЯ НА ПЕРИОД 2018 -2032ГОДА».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6159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957">
        <w:rPr>
          <w:rFonts w:ascii="Arial" w:hAnsi="Arial" w:cs="Arial"/>
          <w:sz w:val="24"/>
          <w:szCs w:val="24"/>
        </w:rPr>
        <w:t>В соответствии со ст.ст.17, 43 Федерального закона от 06.10.2003г. №131-ФЗ «Об общих принципах организации местного самоуправления в Российской Федерации»,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Министерства регионального развития Российской Федерации от 06.05.2011 №04 «О разработке программ комплексного развития систем коммунальной инфраструктуры муниципальных образований», Законом Иркутской области от 20 декабря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2010 года №131-ОЗ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руководствуясь Уставом Котикского муниципального образования. Дума Котикского сельского поселения 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A17EE9" w:rsidRDefault="00A17EE9" w:rsidP="00A17EE9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17EE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615957" w:rsidP="006159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7EE9" w:rsidRPr="00615957">
        <w:rPr>
          <w:rFonts w:ascii="Arial" w:hAnsi="Arial" w:cs="Arial"/>
          <w:sz w:val="24"/>
          <w:szCs w:val="24"/>
        </w:rPr>
        <w:t>Утвердить прилагаемую Программу комплексного развития систем коммунальной инфраструктуры Котикского сельского поселения Тулунского муниципального района Иркутской области на 2018-2032 годы (согласно приложению 1);</w:t>
      </w:r>
    </w:p>
    <w:p w:rsidR="00A17EE9" w:rsidRPr="00615957" w:rsidRDefault="00615957" w:rsidP="006159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7EE9" w:rsidRPr="00615957">
        <w:rPr>
          <w:rFonts w:ascii="Arial" w:hAnsi="Arial" w:cs="Arial"/>
          <w:sz w:val="24"/>
          <w:szCs w:val="24"/>
        </w:rPr>
        <w:t>Решение думы от 2 сентября 2015 года №15 признать утратившим силу.</w:t>
      </w:r>
    </w:p>
    <w:p w:rsidR="00A17EE9" w:rsidRPr="00615957" w:rsidRDefault="00615957" w:rsidP="006159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7EE9" w:rsidRPr="00615957">
        <w:rPr>
          <w:rFonts w:ascii="Arial" w:hAnsi="Arial" w:cs="Arial"/>
          <w:sz w:val="24"/>
          <w:szCs w:val="24"/>
        </w:rPr>
        <w:t>Опубликовать данное решение в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="00A17EE9" w:rsidRPr="00615957">
        <w:rPr>
          <w:rFonts w:ascii="Arial" w:hAnsi="Arial" w:cs="Arial"/>
          <w:sz w:val="24"/>
          <w:szCs w:val="24"/>
        </w:rPr>
        <w:t>газете «Вестник Котикского сельского поселения»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="00A17EE9" w:rsidRPr="00615957">
        <w:rPr>
          <w:rFonts w:ascii="Arial" w:hAnsi="Arial" w:cs="Arial"/>
          <w:sz w:val="24"/>
          <w:szCs w:val="24"/>
        </w:rPr>
        <w:t>и разместить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="00A17EE9" w:rsidRPr="00615957">
        <w:rPr>
          <w:rFonts w:ascii="Arial" w:hAnsi="Arial" w:cs="Arial"/>
          <w:sz w:val="24"/>
          <w:szCs w:val="24"/>
        </w:rPr>
        <w:t>на официальном сайте Котикского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="00A17EE9" w:rsidRPr="00615957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="00A17EE9" w:rsidRPr="0061595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7EE9" w:rsidRPr="00615957" w:rsidRDefault="00615957" w:rsidP="006159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17EE9" w:rsidRPr="00615957">
        <w:rPr>
          <w:rFonts w:ascii="Arial" w:hAnsi="Arial" w:cs="Arial"/>
          <w:sz w:val="24"/>
          <w:szCs w:val="24"/>
        </w:rPr>
        <w:t>Контроль за</w:t>
      </w:r>
      <w:proofErr w:type="gramEnd"/>
      <w:r w:rsidR="00A17EE9" w:rsidRPr="00615957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615957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615957">
        <w:rPr>
          <w:rFonts w:ascii="Arial" w:eastAsia="Calibri" w:hAnsi="Arial" w:cs="Arial"/>
          <w:sz w:val="24"/>
          <w:szCs w:val="24"/>
        </w:rPr>
        <w:t>Г.В. Пырьев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615957">
      <w:pPr>
        <w:pStyle w:val="a3"/>
        <w:jc w:val="right"/>
        <w:rPr>
          <w:rFonts w:ascii="Courier New" w:hAnsi="Courier New" w:cs="Courier New"/>
        </w:rPr>
      </w:pPr>
      <w:r w:rsidRPr="00615957">
        <w:rPr>
          <w:rFonts w:ascii="Courier New" w:hAnsi="Courier New" w:cs="Courier New"/>
        </w:rPr>
        <w:t>Приложение №1</w:t>
      </w:r>
    </w:p>
    <w:p w:rsidR="00A17EE9" w:rsidRPr="00615957" w:rsidRDefault="00A17EE9" w:rsidP="00615957">
      <w:pPr>
        <w:pStyle w:val="a3"/>
        <w:jc w:val="right"/>
        <w:rPr>
          <w:rFonts w:ascii="Courier New" w:hAnsi="Courier New" w:cs="Courier New"/>
        </w:rPr>
      </w:pPr>
      <w:r w:rsidRPr="00615957">
        <w:rPr>
          <w:rFonts w:ascii="Courier New" w:hAnsi="Courier New" w:cs="Courier New"/>
        </w:rPr>
        <w:t>к решению Думы Котикского</w:t>
      </w:r>
    </w:p>
    <w:p w:rsidR="00A17EE9" w:rsidRPr="00615957" w:rsidRDefault="00A17EE9" w:rsidP="00615957">
      <w:pPr>
        <w:pStyle w:val="a3"/>
        <w:jc w:val="right"/>
        <w:rPr>
          <w:rFonts w:ascii="Courier New" w:hAnsi="Courier New" w:cs="Courier New"/>
        </w:rPr>
      </w:pPr>
      <w:r w:rsidRPr="00615957">
        <w:rPr>
          <w:rFonts w:ascii="Courier New" w:hAnsi="Courier New" w:cs="Courier New"/>
        </w:rPr>
        <w:t>сельского поселения №18 от 22.08.2018г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615957" w:rsidP="00615957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615957">
        <w:rPr>
          <w:rFonts w:ascii="Arial" w:eastAsia="Calibri" w:hAnsi="Arial" w:cs="Arial"/>
          <w:b/>
          <w:sz w:val="30"/>
          <w:szCs w:val="30"/>
        </w:rPr>
        <w:t xml:space="preserve">1. </w:t>
      </w:r>
      <w:r>
        <w:rPr>
          <w:rFonts w:ascii="Arial" w:eastAsia="Calibri" w:hAnsi="Arial" w:cs="Arial"/>
          <w:b/>
          <w:sz w:val="30"/>
          <w:szCs w:val="30"/>
        </w:rPr>
        <w:t>П</w:t>
      </w:r>
      <w:r w:rsidRPr="00615957">
        <w:rPr>
          <w:rFonts w:ascii="Arial" w:eastAsia="Calibri" w:hAnsi="Arial" w:cs="Arial"/>
          <w:b/>
          <w:sz w:val="30"/>
          <w:szCs w:val="30"/>
        </w:rPr>
        <w:t>аспорт программы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70"/>
      </w:tblGrid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Наименование программы 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«Программа комплексного развития </w:t>
            </w:r>
            <w:r w:rsidRPr="00615957">
              <w:rPr>
                <w:rFonts w:ascii="Courier New" w:hAnsi="Courier New" w:cs="Courier New"/>
              </w:rPr>
              <w:lastRenderedPageBreak/>
              <w:t>систем коммунальной инфраструктуры Котикского муниципального образования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615957">
              <w:rPr>
                <w:rFonts w:ascii="Courier New" w:hAnsi="Courier New" w:cs="Courier New"/>
              </w:rPr>
              <w:t>на 2018–2032 год</w:t>
            </w:r>
            <w:proofErr w:type="gramStart"/>
            <w:r w:rsidRPr="00615957">
              <w:rPr>
                <w:rFonts w:ascii="Courier New" w:hAnsi="Courier New" w:cs="Courier New"/>
              </w:rPr>
              <w:t xml:space="preserve">.» </w:t>
            </w:r>
            <w:proofErr w:type="gramEnd"/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lastRenderedPageBreak/>
              <w:t>Основание разработки 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-Градостроительный кодекс Российской Федерации от 29.12.2004 года №190-ФЗ;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-Федеральный закон от 23.11.2009г №61-ФЗ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 Федеральный закон от 30 декабря 2004г. №210-ФЗ «Об основах регулирования тарифов организации коммунального комплекса»;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 Генеральный план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615957">
              <w:rPr>
                <w:rFonts w:ascii="Courier New" w:hAnsi="Courier New" w:cs="Courier New"/>
              </w:rPr>
              <w:t>развития Котикского муниципального образования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Цель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61595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Целью </w:t>
            </w:r>
            <w:proofErr w:type="gramStart"/>
            <w:r w:rsidRPr="00615957">
              <w:rPr>
                <w:rFonts w:ascii="Courier New" w:hAnsi="Courier New" w:cs="Courier New"/>
              </w:rPr>
              <w:t>разработки Программы комплексного развития систем коммунальной инфраструктуры</w:t>
            </w:r>
            <w:proofErr w:type="gramEnd"/>
            <w:r w:rsidRPr="00615957">
              <w:rPr>
                <w:rFonts w:ascii="Courier New" w:hAnsi="Courier New" w:cs="Courier New"/>
              </w:rPr>
              <w:t xml:space="preserve"> Котикского муниципального образования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A17EE9" w:rsidRPr="00615957" w:rsidTr="00615957">
        <w:trPr>
          <w:trHeight w:val="2880"/>
        </w:trPr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1.Инженерно-техническая оптимизация систем коммунальной инфраструктуры.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2.Повышение надежности систем коммунальной инфраструктуры.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3. Обеспечение более комфортных условий проживания населения сельского поселения.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4.Повышение качества предоставляемых услуг.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5. Снижение потребление энергетических ресурсов.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6.Снижение потерь при поставке ресурсов потребителям.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7.Улучшение экологической обстановки в сельском поселении.</w:t>
            </w:r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Целевые показатели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  <w:kern w:val="2"/>
              </w:rPr>
            </w:pPr>
            <w:r w:rsidRPr="00615957">
              <w:rPr>
                <w:rFonts w:ascii="Courier New" w:hAnsi="Courier New" w:cs="Courier New"/>
                <w:color w:val="000000"/>
                <w:kern w:val="2"/>
              </w:rPr>
              <w:t xml:space="preserve">-повышение </w:t>
            </w:r>
            <w:proofErr w:type="gramStart"/>
            <w:r w:rsidRPr="00615957">
              <w:rPr>
                <w:rFonts w:ascii="Courier New" w:hAnsi="Courier New" w:cs="Courier New"/>
                <w:color w:val="000000"/>
                <w:kern w:val="2"/>
              </w:rPr>
              <w:t>надежности работы системы коммунальной инфраструктуры поселения</w:t>
            </w:r>
            <w:proofErr w:type="gramEnd"/>
            <w:r w:rsidRPr="00615957">
              <w:rPr>
                <w:rFonts w:ascii="Courier New" w:hAnsi="Courier New" w:cs="Courier New"/>
                <w:color w:val="000000"/>
                <w:kern w:val="2"/>
              </w:rPr>
              <w:t>;;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kern w:val="2"/>
                <w:lang w:eastAsia="ar-SA"/>
              </w:rPr>
            </w:pPr>
            <w:r w:rsidRPr="00615957">
              <w:rPr>
                <w:rFonts w:ascii="Courier New" w:hAnsi="Courier New" w:cs="Courier New"/>
                <w:kern w:val="2"/>
              </w:rPr>
              <w:lastRenderedPageBreak/>
              <w:t>-повышение качества коммунальных услуг;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  <w:kern w:val="2"/>
              </w:rPr>
            </w:pPr>
            <w:r w:rsidRPr="00615957">
              <w:rPr>
                <w:rFonts w:ascii="Courier New" w:hAnsi="Courier New" w:cs="Courier New"/>
                <w:color w:val="000000"/>
                <w:kern w:val="2"/>
              </w:rPr>
              <w:t>-обеспечение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  <w:kern w:val="2"/>
                <w:lang w:eastAsia="ru-RU"/>
              </w:rPr>
            </w:pPr>
            <w:r w:rsidRPr="00615957">
              <w:rPr>
                <w:rFonts w:ascii="Courier New" w:hAnsi="Courier New" w:cs="Courier New"/>
                <w:color w:val="000000"/>
                <w:kern w:val="2"/>
              </w:rPr>
              <w:t>-рациональное использование природных ресурсов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17EE9" w:rsidRPr="00615957" w:rsidTr="00615957">
        <w:trPr>
          <w:trHeight w:val="1083"/>
        </w:trPr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lastRenderedPageBreak/>
              <w:t>Сроки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615957">
              <w:rPr>
                <w:rFonts w:ascii="Courier New" w:hAnsi="Courier New" w:cs="Courier New"/>
              </w:rPr>
              <w:t>и этапы реализации 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1 этап – 2018 -2019гг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2 этап 2020- 2032гг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615957">
              <w:rPr>
                <w:rFonts w:ascii="Courier New" w:hAnsi="Courier New" w:cs="Courier New"/>
                <w:color w:val="000000"/>
              </w:rPr>
              <w:t xml:space="preserve">Источники финансирования: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615957">
              <w:rPr>
                <w:rFonts w:ascii="Courier New" w:hAnsi="Courier New" w:cs="Courier New"/>
                <w:color w:val="000000"/>
              </w:rPr>
              <w:t>- средства областного бюджета;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615957">
              <w:rPr>
                <w:rFonts w:ascii="Courier New" w:hAnsi="Courier New" w:cs="Courier New"/>
                <w:color w:val="000000"/>
              </w:rPr>
              <w:t>-средства местного бюджета.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615957">
              <w:rPr>
                <w:rFonts w:ascii="Courier New" w:hAnsi="Courier New" w:cs="Courier New"/>
                <w:color w:val="000000"/>
              </w:rPr>
              <w:t>Бюджетные ассигнования, предусмотренные в плановом периоде 2018 -2032 годов, будут уточнены при формировании проектов бюджета Котикского сельского поселения с учетом изменения ассигнований областного бюджета</w:t>
            </w:r>
            <w:r w:rsidR="008C3DF1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A17EE9" w:rsidRPr="00615957" w:rsidTr="00615957">
        <w:tc>
          <w:tcPr>
            <w:tcW w:w="4428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Мероприятия программы</w:t>
            </w:r>
          </w:p>
        </w:tc>
        <w:tc>
          <w:tcPr>
            <w:tcW w:w="5070" w:type="dxa"/>
            <w:vAlign w:val="center"/>
          </w:tcPr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1.Для развития водоснабжения Котикского сельского поселения: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- бурение поисково-разведочной скважины на воду </w:t>
            </w:r>
            <w:proofErr w:type="gramStart"/>
            <w:r w:rsidRPr="00615957">
              <w:rPr>
                <w:rFonts w:ascii="Courier New" w:hAnsi="Courier New" w:cs="Courier New"/>
              </w:rPr>
              <w:t>в</w:t>
            </w:r>
            <w:proofErr w:type="gramEnd"/>
            <w:r w:rsidRPr="00615957">
              <w:rPr>
                <w:rFonts w:ascii="Courier New" w:hAnsi="Courier New" w:cs="Courier New"/>
              </w:rPr>
              <w:t xml:space="preserve"> с. Котик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- реконструкция и капитальный ремонт летнего водопровода </w:t>
            </w:r>
            <w:proofErr w:type="gramStart"/>
            <w:r w:rsidRPr="00615957">
              <w:rPr>
                <w:rFonts w:ascii="Courier New" w:hAnsi="Courier New" w:cs="Courier New"/>
              </w:rPr>
              <w:t>в</w:t>
            </w:r>
            <w:proofErr w:type="gramEnd"/>
            <w:r w:rsidRPr="00615957">
              <w:rPr>
                <w:rFonts w:ascii="Courier New" w:hAnsi="Courier New" w:cs="Courier New"/>
              </w:rPr>
              <w:t xml:space="preserve"> с. Котик, в п. Утай;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 благоустройство санитарной зоны скважин и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615957">
              <w:rPr>
                <w:rFonts w:ascii="Courier New" w:hAnsi="Courier New" w:cs="Courier New"/>
              </w:rPr>
              <w:t>установка ограждения;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 устройство для нужд пожаротушения для возможности забора воды пожарными машинными непосредственно из водонапорных башен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2.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615957">
              <w:rPr>
                <w:rFonts w:ascii="Courier New" w:hAnsi="Courier New" w:cs="Courier New"/>
              </w:rPr>
              <w:t xml:space="preserve">В сфере электроснабжения: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- установка второго трансформатора мощностью 6,3 МВА в ПС «Котик»;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 строительство воздушной линии ТП(1х630кВА)</w:t>
            </w:r>
            <w:r w:rsidR="008C3DF1">
              <w:rPr>
                <w:rFonts w:ascii="Courier New" w:hAnsi="Courier New" w:cs="Courier New"/>
              </w:rPr>
              <w:t xml:space="preserve">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3. Для санитарной очистки территории: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 разработка генеральной схемы санитарной очистки</w:t>
            </w:r>
            <w:proofErr w:type="gramStart"/>
            <w:r w:rsidRPr="00615957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>-организация централизованной системы сбора и вывоза ТБО;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15957">
              <w:rPr>
                <w:rFonts w:ascii="Courier New" w:hAnsi="Courier New" w:cs="Courier New"/>
              </w:rPr>
              <w:t xml:space="preserve">- организация контейнерных площадок для сбора ТБО от населения; </w:t>
            </w:r>
          </w:p>
          <w:p w:rsidR="00A17EE9" w:rsidRPr="00615957" w:rsidRDefault="00A17EE9" w:rsidP="00615957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615957">
              <w:rPr>
                <w:rFonts w:ascii="Courier New" w:hAnsi="Courier New" w:cs="Courier New"/>
              </w:rPr>
              <w:t>-организация временной площадки ТБО за границами населенных пунктов</w:t>
            </w:r>
          </w:p>
        </w:tc>
      </w:tr>
    </w:tbl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5957" w:rsidRDefault="00615957" w:rsidP="00615957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615957">
        <w:rPr>
          <w:rFonts w:ascii="Arial" w:hAnsi="Arial" w:cs="Arial"/>
          <w:bCs/>
          <w:sz w:val="24"/>
          <w:szCs w:val="24"/>
        </w:rPr>
        <w:t>ведение</w:t>
      </w:r>
    </w:p>
    <w:p w:rsidR="00615957" w:rsidRDefault="00615957" w:rsidP="00615957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A17EE9" w:rsidRPr="00615957" w:rsidRDefault="00A17EE9" w:rsidP="00615957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t xml:space="preserve">Вступление в силу с 1 января 2006 года Федерального закона от 21.12.2004 №210-ФЗ «Об основах регулирования тарифов организаций коммунального </w:t>
      </w:r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  <w:r w:rsidR="008C3DF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t>Программа комплексного развития коммунальной инфраструктуры муниципального образования «Котикское сельское поселение» на 2018 –2032 г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муниципального образования «Котикское сельское поселение» и в соответствии с Генеральным планом Котикского сельского поселения</w:t>
      </w:r>
      <w:proofErr w:type="gramEnd"/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</w:t>
      </w:r>
      <w:proofErr w:type="gramEnd"/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t xml:space="preserve">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Котикского сельского поселения и в полной мере соответствует государственной политике реформирования жилищно-коммунального комплекса РФ.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5957">
        <w:rPr>
          <w:rFonts w:ascii="Arial" w:hAnsi="Arial" w:cs="Arial"/>
          <w:color w:val="000000"/>
          <w:sz w:val="24"/>
          <w:szCs w:val="24"/>
          <w:lang w:eastAsia="ru-RU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2. Характеристика существующего состояния коммунальной инфраструктуры.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Котикское муниципальное образование является единым экономическим, историческим, социальным, территориальным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образованием, входит в состав Тулунского муниципального района Иркутской области. Расположено в центре Тулунского района Иркутской области. На севере и северо-востоке муниципальное образование граничит с </w:t>
      </w:r>
      <w:proofErr w:type="spellStart"/>
      <w:r w:rsidRPr="00615957">
        <w:rPr>
          <w:rFonts w:ascii="Arial" w:hAnsi="Arial" w:cs="Arial"/>
          <w:sz w:val="24"/>
          <w:szCs w:val="24"/>
        </w:rPr>
        <w:t>Сибирякским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 сельским поселением, на востоке с </w:t>
      </w:r>
      <w:proofErr w:type="spellStart"/>
      <w:r w:rsidRPr="00615957">
        <w:rPr>
          <w:rFonts w:ascii="Arial" w:hAnsi="Arial" w:cs="Arial"/>
          <w:sz w:val="24"/>
          <w:szCs w:val="24"/>
        </w:rPr>
        <w:t>Афанасьевским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 сельским поселением, на юге с Муниципальным образованием «г. Тулун» и Писаревским сельским поселением, на западе с </w:t>
      </w:r>
      <w:proofErr w:type="spellStart"/>
      <w:r w:rsidRPr="00615957">
        <w:rPr>
          <w:rFonts w:ascii="Arial" w:hAnsi="Arial" w:cs="Arial"/>
          <w:sz w:val="24"/>
          <w:szCs w:val="24"/>
        </w:rPr>
        <w:t>Умыганским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 сельским поселением.</w:t>
      </w:r>
      <w:r w:rsidR="008C3DF1">
        <w:rPr>
          <w:rFonts w:ascii="Arial" w:hAnsi="Arial" w:cs="Arial"/>
          <w:sz w:val="24"/>
          <w:szCs w:val="24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Поселение занимает территорию площадью 11334,0га</w:t>
      </w:r>
      <w:bookmarkStart w:id="0" w:name="_GoBack"/>
      <w:bookmarkEnd w:id="0"/>
      <w:proofErr w:type="gramStart"/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В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состав Котикского муниципального образования входит пять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населенных пунктов: село Котик (административный центр), деревня Заусаева, деревня Красная Дубрава, деревня Малый </w:t>
      </w:r>
      <w:proofErr w:type="spellStart"/>
      <w:r w:rsidRPr="00615957">
        <w:rPr>
          <w:rFonts w:ascii="Arial" w:hAnsi="Arial" w:cs="Arial"/>
          <w:sz w:val="24"/>
          <w:szCs w:val="24"/>
        </w:rPr>
        <w:t>Утайчик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, поселок Утай.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Численность населения Котикского сельского поселения (на 01.01.2015 год) составляет 2180 человек.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Водные ресурсы представлены рекой </w:t>
      </w:r>
      <w:proofErr w:type="spellStart"/>
      <w:r w:rsidRPr="00615957">
        <w:rPr>
          <w:rFonts w:ascii="Arial" w:hAnsi="Arial" w:cs="Arial"/>
          <w:sz w:val="24"/>
          <w:szCs w:val="24"/>
        </w:rPr>
        <w:t>Курзанка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, Протяженностью по территории поселения 34,2км проходящая через населенные пункты п. Утай, д. Малый </w:t>
      </w:r>
      <w:proofErr w:type="spellStart"/>
      <w:r w:rsidRPr="00615957">
        <w:rPr>
          <w:rFonts w:ascii="Arial" w:hAnsi="Arial" w:cs="Arial"/>
          <w:sz w:val="24"/>
          <w:szCs w:val="24"/>
        </w:rPr>
        <w:t>Утайчик</w:t>
      </w:r>
      <w:proofErr w:type="spellEnd"/>
      <w:r w:rsidRPr="00615957">
        <w:rPr>
          <w:rFonts w:ascii="Arial" w:hAnsi="Arial" w:cs="Arial"/>
          <w:sz w:val="24"/>
          <w:szCs w:val="24"/>
        </w:rPr>
        <w:t>, д. Заусаева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Село Котик и деревня Красная Дубрава не имеют естественных водоемов на своей территории.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lastRenderedPageBreak/>
        <w:t xml:space="preserve">Внешние и внутренние транспортные связи осуществляются по автомобильным дорогам общего пользования муниципального значения, проходящих по территории населенных пунктов Котикского сельского поселения. Все дороги грунтовые. Действуют автобусные сообщения по маршруту г. Тулун – с. </w:t>
      </w:r>
      <w:proofErr w:type="spellStart"/>
      <w:r w:rsidRPr="00615957">
        <w:rPr>
          <w:rFonts w:ascii="Arial" w:hAnsi="Arial" w:cs="Arial"/>
          <w:sz w:val="24"/>
          <w:szCs w:val="24"/>
        </w:rPr>
        <w:t>Умыган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, г. Тулун – </w:t>
      </w:r>
      <w:proofErr w:type="gramStart"/>
      <w:r w:rsidRPr="00615957">
        <w:rPr>
          <w:rFonts w:ascii="Arial" w:hAnsi="Arial" w:cs="Arial"/>
          <w:sz w:val="24"/>
          <w:szCs w:val="24"/>
        </w:rPr>
        <w:t>с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5957">
        <w:rPr>
          <w:rFonts w:ascii="Arial" w:hAnsi="Arial" w:cs="Arial"/>
          <w:sz w:val="24"/>
          <w:szCs w:val="24"/>
        </w:rPr>
        <w:t>Котик</w:t>
      </w:r>
      <w:proofErr w:type="gramEnd"/>
      <w:r w:rsidRPr="00615957">
        <w:rPr>
          <w:rFonts w:ascii="Arial" w:hAnsi="Arial" w:cs="Arial"/>
          <w:sz w:val="24"/>
          <w:szCs w:val="24"/>
        </w:rPr>
        <w:t>, которые связывают населенные пункты с районным центром. Через населенные пункты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п. Утай, д. Малый </w:t>
      </w:r>
      <w:proofErr w:type="spellStart"/>
      <w:r w:rsidRPr="00615957">
        <w:rPr>
          <w:rFonts w:ascii="Arial" w:hAnsi="Arial" w:cs="Arial"/>
          <w:sz w:val="24"/>
          <w:szCs w:val="24"/>
        </w:rPr>
        <w:t>Утайчик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15957">
        <w:rPr>
          <w:rFonts w:ascii="Arial" w:hAnsi="Arial" w:cs="Arial"/>
          <w:sz w:val="24"/>
          <w:szCs w:val="24"/>
        </w:rPr>
        <w:t>с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5957">
        <w:rPr>
          <w:rFonts w:ascii="Arial" w:hAnsi="Arial" w:cs="Arial"/>
          <w:sz w:val="24"/>
          <w:szCs w:val="24"/>
        </w:rPr>
        <w:t>Котик</w:t>
      </w:r>
      <w:proofErr w:type="gramEnd"/>
      <w:r w:rsidRPr="00615957">
        <w:rPr>
          <w:rFonts w:ascii="Arial" w:hAnsi="Arial" w:cs="Arial"/>
          <w:sz w:val="24"/>
          <w:szCs w:val="24"/>
        </w:rPr>
        <w:t>, д. Заусаева проходит ВСЖД ОАО РЖД,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имеются остановочные пункты.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Промышленные производства на территории поселения отсутствуют. Район сельскохозяйственный, основное направление – растениеводство. Основным местом приложения труда д. Красная Дубрава и д. Заусаева является ЗАО «Монолит»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Система коммунальной инфраструктуры в населенных пунктах Котикского сельского поселения отсутствует.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957">
        <w:rPr>
          <w:rFonts w:ascii="Arial" w:hAnsi="Arial" w:cs="Arial"/>
          <w:sz w:val="24"/>
          <w:szCs w:val="24"/>
        </w:rPr>
        <w:t xml:space="preserve">К представляемым коммунальным услугам, рассматриваемых в рамках Программы, относятся: </w:t>
      </w:r>
      <w:proofErr w:type="gramEnd"/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- электроснабжение;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- водоснабжение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color w:val="000000"/>
          <w:sz w:val="24"/>
          <w:szCs w:val="24"/>
        </w:rPr>
        <w:t>Коммунальный комплекс ежегодно требует увеличения</w:t>
      </w:r>
      <w:r w:rsidR="008C3D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957">
        <w:rPr>
          <w:rFonts w:ascii="Arial" w:hAnsi="Arial" w:cs="Arial"/>
          <w:color w:val="000000"/>
          <w:sz w:val="24"/>
          <w:szCs w:val="24"/>
        </w:rPr>
        <w:t>денежных сре</w:t>
      </w:r>
      <w:proofErr w:type="gramStart"/>
      <w:r w:rsidRPr="00615957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615957">
        <w:rPr>
          <w:rFonts w:ascii="Arial" w:hAnsi="Arial" w:cs="Arial"/>
          <w:color w:val="000000"/>
          <w:sz w:val="24"/>
          <w:szCs w:val="24"/>
        </w:rPr>
        <w:t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</w:t>
      </w:r>
      <w:r w:rsidR="008C3DF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5957">
        <w:rPr>
          <w:rFonts w:ascii="Arial" w:hAnsi="Arial" w:cs="Arial"/>
          <w:color w:val="000000"/>
          <w:sz w:val="24"/>
          <w:szCs w:val="24"/>
        </w:rPr>
        <w:t>Канализационных сетей на территории поселения нет.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5957">
        <w:rPr>
          <w:rFonts w:ascii="Arial" w:hAnsi="Arial" w:cs="Arial"/>
          <w:color w:val="000000"/>
          <w:sz w:val="24"/>
          <w:szCs w:val="24"/>
        </w:rPr>
        <w:t xml:space="preserve">Система централизованного теплоснабжения жилого фонда отсутствует. Локальными котельными обеспечены основные общественные сооружения.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15957">
        <w:rPr>
          <w:rFonts w:ascii="Arial" w:eastAsia="Calibri" w:hAnsi="Arial" w:cs="Arial"/>
          <w:sz w:val="24"/>
          <w:szCs w:val="24"/>
          <w:lang w:eastAsia="ar-SA"/>
        </w:rPr>
        <w:t>В настоящее время в Котикском</w:t>
      </w:r>
      <w:r w:rsidR="008C3D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15957">
        <w:rPr>
          <w:rFonts w:ascii="Arial" w:eastAsia="Calibri" w:hAnsi="Arial" w:cs="Arial"/>
          <w:sz w:val="24"/>
          <w:szCs w:val="24"/>
          <w:lang w:eastAsia="ar-SA"/>
        </w:rPr>
        <w:t>сельском поселении эксплуатируется</w:t>
      </w:r>
      <w:r w:rsidR="008C3D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15957">
        <w:rPr>
          <w:rFonts w:ascii="Arial" w:eastAsia="Calibri" w:hAnsi="Arial" w:cs="Arial"/>
          <w:sz w:val="24"/>
          <w:szCs w:val="24"/>
          <w:lang w:eastAsia="ar-SA"/>
        </w:rPr>
        <w:t>12</w:t>
      </w:r>
      <w:r w:rsidR="008C3D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15957">
        <w:rPr>
          <w:rFonts w:ascii="Arial" w:eastAsia="Calibri" w:hAnsi="Arial" w:cs="Arial"/>
          <w:sz w:val="24"/>
          <w:szCs w:val="24"/>
          <w:lang w:eastAsia="ar-SA"/>
        </w:rPr>
        <w:t>водонапорных башен, которые являются основными источниками водоснабжения в населенных пунктах.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К основным проблемам водоснабжения населения поселения относятся: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дефицит доброкачественной воды, обусловленный недостаточной мощностью отдельных водонапорных башен, нерациональным ее использованием в летний период года на полив приусадебных участков, значительными потерями воды в изношенных системах летнего водопровода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использование водоснабжения без очистки и обеззараживания и питьевой воды, не отвечающей гигиеническим требованиям;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615957">
        <w:rPr>
          <w:rFonts w:ascii="Arial" w:hAnsi="Arial" w:cs="Arial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615957">
        <w:rPr>
          <w:rFonts w:ascii="Arial" w:hAnsi="Arial" w:cs="Arial"/>
          <w:sz w:val="24"/>
          <w:szCs w:val="24"/>
        </w:rPr>
        <w:t>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Надежная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система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уличного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освещения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способствует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улучшению ориентации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и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безопасности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движения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на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дорогах населенных пунктов Котикского сельского поселения,</w:t>
      </w:r>
      <w:r w:rsidR="008C3DF1">
        <w:rPr>
          <w:rFonts w:ascii="Arial" w:hAnsi="Arial" w:cs="Arial"/>
          <w:sz w:val="24"/>
          <w:szCs w:val="24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5957">
        <w:rPr>
          <w:rFonts w:ascii="Arial" w:hAnsi="Arial" w:cs="Arial"/>
          <w:sz w:val="24"/>
          <w:szCs w:val="24"/>
        </w:rPr>
        <w:t>Жилищный фонд Котикского сельского поселения складывается из индивидуальных и двухквартирных деревянных жилых домов с приусадебными участками. Отопление печное.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Общая площадь жилого фонда Котикского сельского поселения составляет -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17,1тыс.</w:t>
      </w:r>
      <w:r w:rsidR="008C3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957">
        <w:rPr>
          <w:rFonts w:ascii="Arial" w:hAnsi="Arial" w:cs="Arial"/>
          <w:sz w:val="24"/>
          <w:szCs w:val="24"/>
        </w:rPr>
        <w:t>кв.м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. Жилищный фонд отличается неудовлетворительным техническим состоянием. </w:t>
      </w:r>
      <w:proofErr w:type="gramStart"/>
      <w:r w:rsidRPr="00615957">
        <w:rPr>
          <w:rFonts w:ascii="Arial" w:hAnsi="Arial" w:cs="Arial"/>
          <w:sz w:val="24"/>
          <w:szCs w:val="24"/>
        </w:rPr>
        <w:t>Жилищное строительство в Котикском сельском поселение находится на низком уровне.</w:t>
      </w:r>
      <w:proofErr w:type="gramEnd"/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В населенных пунктах Котикского муниципального образования расположены общественные здания: средняя общеобразовательная школа (с. Котик)</w:t>
      </w:r>
      <w:proofErr w:type="gramStart"/>
      <w:r w:rsidRPr="0061595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общеобразовательная школа (п. Утай), одно дошкольное учреждение (с. Котик) врачебная амбулатория со стационаром (с. Котик), 3 </w:t>
      </w:r>
      <w:proofErr w:type="spellStart"/>
      <w:r w:rsidRPr="00615957">
        <w:rPr>
          <w:rFonts w:ascii="Arial" w:hAnsi="Arial" w:cs="Arial"/>
          <w:sz w:val="24"/>
          <w:szCs w:val="24"/>
        </w:rPr>
        <w:t>ФАПа</w:t>
      </w:r>
      <w:proofErr w:type="spellEnd"/>
      <w:r w:rsidRPr="00615957">
        <w:rPr>
          <w:rFonts w:ascii="Arial" w:hAnsi="Arial" w:cs="Arial"/>
          <w:sz w:val="24"/>
          <w:szCs w:val="24"/>
        </w:rPr>
        <w:t>, досуговый центр (с. Котик), 2 клуба, здание администрации, два отделения связи,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лесничество,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Жилой фонд обеспечен: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lastRenderedPageBreak/>
        <w:t>- системами водоснабжения на 0%;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- электроснабжение на 100%;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- сети канализации отсутствуют;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- газовые сети отсутствуют.</w:t>
      </w:r>
      <w:r w:rsidR="008C3DF1">
        <w:rPr>
          <w:rFonts w:ascii="Arial" w:hAnsi="Arial" w:cs="Arial"/>
          <w:sz w:val="24"/>
          <w:szCs w:val="24"/>
        </w:rPr>
        <w:t xml:space="preserve"> 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3.Основные цели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и задачи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программы.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Котикского муниципального образования.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Котикского муниципального образования на 2018-2032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615957">
        <w:rPr>
          <w:rFonts w:ascii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строительство водонапорной башни в селе Котик, реконструкции системы летнего водопровода в с. Котик и п. Утай, то есть к повышению устойчивости и надежности функционирования жилищно-коммунальных систем жизнеобеспечения населения.</w:t>
      </w:r>
      <w:proofErr w:type="gramEnd"/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Повышения уровня благоустройства Котикского муниципального образования.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Привлечение бюджетных и внебюджетных средств в обеспечение комплексного развития систем коммунальной инфраструктуры. </w:t>
      </w:r>
    </w:p>
    <w:p w:rsidR="00B67052" w:rsidRDefault="00B67052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3.1. Основные задачи программы.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финансовое оздоровление организаций жилищно-коммунального комплекса путем доведения тарифов до экономически обоснованного уровня;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формирование инвестиционной привлекательности коммунальной инфраструктуры путем создания эффективных и прозрачных процедур тарифного регулирования, экономически заинтересовывающих их в сокращении затрат и ресурсов, 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обеспечение муниципальной поддержки процесса модернизации коммунального комплекса как путем предоставления бюджетных средств, в основном, на возвратной основе, так и формирование финансовых инструментов предоставления гарантий по привлекаемым инвестициям;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определение стоимости строительства объектов инженерно-технического обеспечения для жилой застройки по укрупненным показателям и модернизации существующего инженерно-технологического оборудования и сетей.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инфраструктуры;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привлечение кредитных и инвестиционных сре</w:t>
      </w:r>
      <w:proofErr w:type="gramStart"/>
      <w:r w:rsidRPr="00615957">
        <w:rPr>
          <w:rFonts w:ascii="Arial" w:hAnsi="Arial" w:cs="Arial"/>
          <w:sz w:val="24"/>
          <w:szCs w:val="24"/>
          <w:lang w:eastAsia="ar-SA"/>
        </w:rPr>
        <w:t>дств дл</w:t>
      </w:r>
      <w:proofErr w:type="gramEnd"/>
      <w:r w:rsidRPr="00615957">
        <w:rPr>
          <w:rFonts w:ascii="Arial" w:hAnsi="Arial" w:cs="Arial"/>
          <w:sz w:val="24"/>
          <w:szCs w:val="24"/>
          <w:lang w:eastAsia="ar-SA"/>
        </w:rPr>
        <w:t>я обеспечения реализации утвержденных инвестиционных и производственных программ; разработка схем теплоснабжения, энергоснабжения, водоснабжения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lastRenderedPageBreak/>
        <w:t>формирование тарифов на коммунальные услуги, утверждение размера надбавки к цене (тарифу) для потребителей и тарифа на подключение к сетям коммунального комплекса.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</w:r>
      <w:r w:rsidR="008C3DF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сокращение количества аварий и отказов в работе оборудования;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замена морально устаревшего и физически изношенного оборудования.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4. Сроки и этапы реализации программы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Программа будет выполняться поэтапно в течение 2018 – 2032гг.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На первом этапе (2018 -2019 годы) будут реализованы следующие мероприятия: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завершение формирования нормативно-правовой базы для осуществления реализации Программы подготовка и разработка схем теплоснабжения, энергоснабжения, водоснабжения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На втором этапе 2020 – 2024 годы: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модернизация коммунальной инфраструктуры.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В перспективе (2021-2022 годы) будет реализован основной блок мероприятий Программы по реализации инвестиционных программ организаций коммунального комплекса: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- наращивание и дальнейшая модернизация коммунальной инфраструктуры</w:t>
      </w:r>
      <w:r w:rsidRPr="00615957">
        <w:rPr>
          <w:rFonts w:ascii="Arial" w:hAnsi="Arial" w:cs="Arial"/>
          <w:color w:val="000000"/>
          <w:sz w:val="24"/>
          <w:szCs w:val="24"/>
        </w:rPr>
        <w:t>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В 2019-2022 году планируется реорганизация инженерной инфраструктуры с учетом требований научно-технического прогресса. Так же планируется перейти на энергосберегающие технологии в области электроснабжения и теплоснабжения.</w:t>
      </w:r>
      <w:r w:rsidR="008C3DF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5. Оценка эффективности реализации программы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Успешная реализация Программы позволит: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решить стратегическую задачу привлечения частных инвестиций для модернизации и развития жилищно-коммунального комплекса;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повысить эффективность работы организаций коммунального комплекса и снизить затраты на представление коммунальных услуг;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ликвидировать критический уровень износа основных фондов;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 xml:space="preserve">- создаст </w:t>
      </w:r>
      <w:proofErr w:type="gramStart"/>
      <w:r w:rsidRPr="00615957">
        <w:rPr>
          <w:rFonts w:ascii="Arial" w:hAnsi="Arial" w:cs="Arial"/>
          <w:sz w:val="24"/>
          <w:szCs w:val="24"/>
          <w:lang w:eastAsia="ar-SA"/>
        </w:rPr>
        <w:t>экономический механизм</w:t>
      </w:r>
      <w:proofErr w:type="gramEnd"/>
      <w:r w:rsidRPr="00615957">
        <w:rPr>
          <w:rFonts w:ascii="Arial" w:hAnsi="Arial" w:cs="Arial"/>
          <w:sz w:val="24"/>
          <w:szCs w:val="24"/>
          <w:lang w:eastAsia="ar-SA"/>
        </w:rPr>
        <w:t>,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lastRenderedPageBreak/>
        <w:t>Реализация мероприятий по развитию и модернизации системы водоснабжения позволит: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улучшить качественные показатели питьевой воды;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обеспечить бесперебойное водоснабжение сельского поселения;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сократить удельные расходы на энергию и другие эксплуатационные расходы;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увеличить количество потребителей услуг, а также объем сбора средств за предоставленные услуги;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Реализация мероприятий по развитию и модернизации системы электроснабжения позволит: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обеспечить бесперебойное электроснабжение потребителей сельского поселения;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снизить потери электрической энергии в сетях;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снизить износ основных фондов;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улучшить качественные показатели электрической энергии;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- увеличить количество потребителей услуг, а также объем сбора средств за предоставленные услуги;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6. Водоснабжение.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Водоснабжение Котикского муниципального образования, в основном, осуществляется</w:t>
      </w:r>
      <w:r w:rsidR="008C3DF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водонапорными башнями, в. д. Заусаева – река </w:t>
      </w:r>
      <w:proofErr w:type="spellStart"/>
      <w:r w:rsidRPr="00615957">
        <w:rPr>
          <w:rFonts w:ascii="Arial" w:eastAsia="Calibri" w:hAnsi="Arial" w:cs="Arial"/>
          <w:sz w:val="24"/>
          <w:szCs w:val="24"/>
          <w:lang w:eastAsia="zh-CN"/>
        </w:rPr>
        <w:t>Курзанка</w:t>
      </w:r>
      <w:proofErr w:type="spellEnd"/>
      <w:r w:rsidRPr="00615957">
        <w:rPr>
          <w:rFonts w:ascii="Arial" w:eastAsia="Calibri" w:hAnsi="Arial" w:cs="Arial"/>
          <w:sz w:val="24"/>
          <w:szCs w:val="24"/>
          <w:lang w:eastAsia="zh-CN"/>
        </w:rPr>
        <w:t>, в п. Утай – водонапорные башни</w:t>
      </w:r>
      <w:r w:rsidR="008C3DF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и река </w:t>
      </w:r>
      <w:proofErr w:type="spellStart"/>
      <w:r w:rsidRPr="00615957">
        <w:rPr>
          <w:rFonts w:ascii="Arial" w:eastAsia="Calibri" w:hAnsi="Arial" w:cs="Arial"/>
          <w:sz w:val="24"/>
          <w:szCs w:val="24"/>
          <w:lang w:eastAsia="zh-CN"/>
        </w:rPr>
        <w:t>Курзанка</w:t>
      </w:r>
      <w:proofErr w:type="spellEnd"/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. Система летнего водопровода по Котикскому муниципальному образованию проходит частично </w:t>
      </w:r>
      <w:proofErr w:type="gramStart"/>
      <w:r w:rsidRPr="00615957">
        <w:rPr>
          <w:rFonts w:ascii="Arial" w:eastAsia="Calibri" w:hAnsi="Arial" w:cs="Arial"/>
          <w:sz w:val="24"/>
          <w:szCs w:val="24"/>
          <w:lang w:eastAsia="zh-CN"/>
        </w:rPr>
        <w:t>в</w:t>
      </w:r>
      <w:proofErr w:type="gramEnd"/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 с. Котик и п. Утай. </w:t>
      </w:r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>Объектами водоснабжения являются 12</w:t>
      </w:r>
      <w:r w:rsidR="008C3DF1">
        <w:rPr>
          <w:rFonts w:ascii="Arial" w:eastAsia="Calibri" w:hAnsi="Arial" w:cs="Arial"/>
          <w:spacing w:val="-2"/>
          <w:sz w:val="24"/>
          <w:szCs w:val="24"/>
          <w:lang w:eastAsia="zh-CN"/>
        </w:rPr>
        <w:t xml:space="preserve"> </w:t>
      </w:r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>действующих водонапорных башен. Всего на территории Котикского муниципального образования</w:t>
      </w:r>
      <w:r w:rsidR="008C3DF1">
        <w:rPr>
          <w:rFonts w:ascii="Arial" w:eastAsia="Calibri" w:hAnsi="Arial" w:cs="Arial"/>
          <w:spacing w:val="-2"/>
          <w:sz w:val="24"/>
          <w:szCs w:val="24"/>
          <w:lang w:eastAsia="zh-CN"/>
        </w:rPr>
        <w:t xml:space="preserve"> </w:t>
      </w:r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 xml:space="preserve">11 водонапорных башен: 5 </w:t>
      </w:r>
      <w:proofErr w:type="gramStart"/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>в</w:t>
      </w:r>
      <w:proofErr w:type="gramEnd"/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 xml:space="preserve"> </w:t>
      </w:r>
      <w:proofErr w:type="gramStart"/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>с</w:t>
      </w:r>
      <w:proofErr w:type="gramEnd"/>
      <w:r w:rsidRPr="00615957">
        <w:rPr>
          <w:rFonts w:ascii="Arial" w:eastAsia="Calibri" w:hAnsi="Arial" w:cs="Arial"/>
          <w:spacing w:val="-2"/>
          <w:sz w:val="24"/>
          <w:szCs w:val="24"/>
          <w:lang w:eastAsia="zh-CN"/>
        </w:rPr>
        <w:t xml:space="preserve">. Котик, 1 в д. Заусаева и 1 в д. Красная Дубрава, 4 п. Утай, а так же колодцы и скважины. </w:t>
      </w:r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Основными недостатками и нарушениями при эксплуатации водозаборных скважин остаются: отсутствие лицензии по недропользованию для добычи подземных вод, несоблюдение зон санитарной охраны строгого режима, отсутствие контроля за </w:t>
      </w:r>
      <w:proofErr w:type="spellStart"/>
      <w:r w:rsidRPr="00615957">
        <w:rPr>
          <w:rFonts w:ascii="Arial" w:eastAsia="Calibri" w:hAnsi="Arial" w:cs="Arial"/>
          <w:sz w:val="24"/>
          <w:szCs w:val="24"/>
          <w:lang w:eastAsia="zh-CN"/>
        </w:rPr>
        <w:t>водоотбором</w:t>
      </w:r>
      <w:proofErr w:type="spellEnd"/>
      <w:r w:rsidRPr="00615957">
        <w:rPr>
          <w:rFonts w:ascii="Arial" w:eastAsia="Calibri" w:hAnsi="Arial" w:cs="Arial"/>
          <w:sz w:val="24"/>
          <w:szCs w:val="24"/>
          <w:lang w:eastAsia="zh-CN"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615957">
        <w:rPr>
          <w:rFonts w:ascii="Arial" w:eastAsia="Calibri" w:hAnsi="Arial" w:cs="Arial"/>
          <w:sz w:val="24"/>
          <w:szCs w:val="24"/>
          <w:lang w:eastAsia="zh-CN"/>
        </w:rPr>
        <w:t>и</w:t>
      </w:r>
      <w:proofErr w:type="gramEnd"/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 от мелких выработок (колодцы, скважины ручного бурения). В целом по качеству подземные воды защищенных водоносных горизонтов удовлетворяют санитарным требованиям и нормам и являются кондиционными.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Часть населения использует в качестве источников водоснабжения индивидуальные скважины, колодцы и близлежащие водоемы.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Проектные предложения</w:t>
      </w:r>
      <w:r w:rsidR="008C3DF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На данной стадии в Котикском муниципальном образовании планируется строительство водонапорной башни в с. Котик, ул. </w:t>
      </w:r>
      <w:proofErr w:type="gramStart"/>
      <w:r w:rsidRPr="00615957">
        <w:rPr>
          <w:rFonts w:ascii="Arial" w:eastAsia="Calibri" w:hAnsi="Arial" w:cs="Arial"/>
          <w:sz w:val="24"/>
          <w:szCs w:val="24"/>
          <w:lang w:eastAsia="zh-CN"/>
        </w:rPr>
        <w:t>Заводская</w:t>
      </w:r>
      <w:proofErr w:type="gramEnd"/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Для целей неприкосновенного запаса питьевой воды на пожаротушение и расход на хозяйственно-питьевые цели во время пожара предусматривается строительство резервуаров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Pr="00615957" w:rsidRDefault="00A17EE9" w:rsidP="00B67052">
      <w:pPr>
        <w:pStyle w:val="a3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Водоотведение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Централизованной канализации в Котикском </w:t>
      </w:r>
      <w:proofErr w:type="gramStart"/>
      <w:r w:rsidRPr="00615957">
        <w:rPr>
          <w:rFonts w:ascii="Arial" w:eastAsia="Calibri" w:hAnsi="Arial" w:cs="Arial"/>
          <w:sz w:val="24"/>
          <w:szCs w:val="24"/>
          <w:lang w:eastAsia="zh-CN"/>
        </w:rPr>
        <w:t>сельском</w:t>
      </w:r>
      <w:proofErr w:type="gramEnd"/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 поселение нет. Приемниками хозяйственно-бытовых сточных вод являются выгребные ямы и дворовые туалеты. 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Default="00A17EE9" w:rsidP="00B67052">
      <w:pPr>
        <w:pStyle w:val="a3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Линевая канализация</w:t>
      </w:r>
    </w:p>
    <w:p w:rsidR="00B67052" w:rsidRPr="00615957" w:rsidRDefault="00B67052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Организованное отведение поверхностного стока в Котикском </w:t>
      </w:r>
      <w:proofErr w:type="gramStart"/>
      <w:r w:rsidRPr="00615957">
        <w:rPr>
          <w:rFonts w:ascii="Arial" w:eastAsia="Calibri" w:hAnsi="Arial" w:cs="Arial"/>
          <w:sz w:val="24"/>
          <w:szCs w:val="24"/>
          <w:lang w:eastAsia="zh-CN"/>
        </w:rPr>
        <w:t>муниципальном</w:t>
      </w:r>
      <w:proofErr w:type="gramEnd"/>
      <w:r w:rsidRPr="00615957">
        <w:rPr>
          <w:rFonts w:ascii="Arial" w:eastAsia="Calibri" w:hAnsi="Arial" w:cs="Arial"/>
          <w:sz w:val="24"/>
          <w:szCs w:val="24"/>
          <w:lang w:eastAsia="zh-CN"/>
        </w:rPr>
        <w:t xml:space="preserve"> образование не производится. Сетей и сооружений дождевой канализации в настоящее время не осуществляется.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Default="00A17EE9" w:rsidP="00B67052">
      <w:pPr>
        <w:pStyle w:val="a3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Проектное решение</w:t>
      </w:r>
    </w:p>
    <w:p w:rsidR="00B67052" w:rsidRPr="00615957" w:rsidRDefault="00B67052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Согласно СНиП 2.07.01-89* д. 13.3 «Градостроительство» Планировка и застройка городских и сельских поселений» в районах одно-, двухэтажной застройки допускается применение открытых водоотводящих устройств (канав, кюветов, лотков).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7. Теплоснабжение.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Котикское сельское поселение слабо обеспечено объектами теплоснабжения, существующие объекты социальной сферы отапливаются собственными мелкими котельными и </w:t>
      </w:r>
      <w:proofErr w:type="spellStart"/>
      <w:r w:rsidRPr="00615957">
        <w:rPr>
          <w:rFonts w:ascii="Arial" w:hAnsi="Arial" w:cs="Arial"/>
          <w:sz w:val="24"/>
          <w:szCs w:val="24"/>
        </w:rPr>
        <w:t>электробойлерами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Существующий жилой фонд представлен 1-2-х этажными домами с приусадебными участками – отапливаются индивидуально – печами и электричеством.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Проектные предложения</w:t>
      </w:r>
      <w:r w:rsidR="008C3DF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Отсутствие перспектив многоэтажного строительства и увеличение жилого фонда преимущественно 1-2х этажной усадебной застройкой с низкой плотностью не предусматривает развитие централизованного отопления жилья, предполагает использование индивидуальных источников тепла.</w:t>
      </w:r>
      <w:r w:rsidR="008C3DF1">
        <w:rPr>
          <w:rFonts w:ascii="Arial" w:hAnsi="Arial" w:cs="Arial"/>
          <w:sz w:val="24"/>
          <w:szCs w:val="24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В Котикском муниципальном образовании в настоящее время газоснабжение природным газом отсутствует.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 </w:t>
      </w: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8. Электроснабжение, связь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Электроснабжение Котикского муниципального образования осуществляется от подстанций, находящихся в эксплуатации ОАО «Иркутскэнерго, филиала ОАО «ИЭСК»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«Западные электрические сети». Сооружение воздушных линий п. Утай состоят из 5 ТП10/0,4кВ и имеют напряжение 0,4кВ, общей протяженностью 12, 1км,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На территории поселения проходят воздушные линии 110кВ, 10кВ, 0,4кВ, общей протяженностью </w:t>
      </w:r>
      <w:smartTag w:uri="urn:schemas-microsoft-com:office:smarttags" w:element="metricconverter">
        <w:smartTagPr>
          <w:attr w:name="ProductID" w:val="87,68 км"/>
        </w:smartTagPr>
        <w:r w:rsidRPr="00615957">
          <w:rPr>
            <w:rFonts w:ascii="Arial" w:hAnsi="Arial" w:cs="Arial"/>
            <w:sz w:val="24"/>
            <w:szCs w:val="24"/>
          </w:rPr>
          <w:t>87,68 км</w:t>
        </w:r>
      </w:smartTag>
      <w:r w:rsidRPr="00615957">
        <w:rPr>
          <w:rFonts w:ascii="Arial" w:hAnsi="Arial" w:cs="Arial"/>
          <w:sz w:val="24"/>
          <w:szCs w:val="24"/>
        </w:rPr>
        <w:t>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Обслуживание осуществляется от подстанции </w:t>
      </w:r>
      <w:proofErr w:type="gramStart"/>
      <w:r w:rsidRPr="00615957">
        <w:rPr>
          <w:rFonts w:ascii="Arial" w:hAnsi="Arial" w:cs="Arial"/>
          <w:sz w:val="24"/>
          <w:szCs w:val="24"/>
        </w:rPr>
        <w:t>в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с. Котик ПС 110/10 мощностью 6,3 МВА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Общее техническое состояние </w:t>
      </w:r>
      <w:proofErr w:type="gramStart"/>
      <w:r w:rsidRPr="00615957">
        <w:rPr>
          <w:rFonts w:ascii="Arial" w:hAnsi="Arial" w:cs="Arial"/>
          <w:sz w:val="24"/>
          <w:szCs w:val="24"/>
        </w:rPr>
        <w:t>ВЛ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и подстанций – хорошее.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Проектируемые объекты электроснабжения</w:t>
      </w:r>
    </w:p>
    <w:p w:rsidR="00B67052" w:rsidRPr="00615957" w:rsidRDefault="00B67052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Проектные решения приняты на основании подсчетов существующих и проектируемых нагрузок и с учетом обеспечения надежного электроснабжения </w:t>
      </w:r>
      <w:r w:rsidRPr="00615957">
        <w:rPr>
          <w:rFonts w:ascii="Arial" w:hAnsi="Arial" w:cs="Arial"/>
          <w:sz w:val="24"/>
          <w:szCs w:val="24"/>
        </w:rPr>
        <w:lastRenderedPageBreak/>
        <w:t>потребителей в соответствии с их категорией и оптимальной загрузкой трансформаторов питающих подстанций.</w:t>
      </w:r>
      <w:r w:rsidR="008C3DF1">
        <w:rPr>
          <w:rFonts w:ascii="Arial" w:hAnsi="Arial" w:cs="Arial"/>
          <w:sz w:val="24"/>
          <w:szCs w:val="24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В связи с увеличением загрузки Схемой территориального планирования муниципального образования «Тулунский район» предлагается установка второго трансформатора мощностью 6,3МВА в ПС «Котик». 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Телефонизация, радиофикация и телевидение.</w:t>
      </w:r>
    </w:p>
    <w:p w:rsidR="00B67052" w:rsidRPr="00615957" w:rsidRDefault="00B67052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957">
        <w:rPr>
          <w:rFonts w:ascii="Arial" w:hAnsi="Arial" w:cs="Arial"/>
          <w:sz w:val="24"/>
          <w:szCs w:val="24"/>
        </w:rPr>
        <w:t>Основным оператором, предоставляющим услуги фиксированной телефонной связи в Тулунском муниципальном образовании является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ОАО «Ростелеком»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Услуги сотовой связи в цифровом и аналоговом стандартах предоставляют крупнейшие операторы сотовой связи в Сибири – «</w:t>
      </w:r>
      <w:proofErr w:type="spellStart"/>
      <w:r w:rsidRPr="00615957">
        <w:rPr>
          <w:rFonts w:ascii="Arial" w:hAnsi="Arial" w:cs="Arial"/>
          <w:sz w:val="24"/>
          <w:szCs w:val="24"/>
        </w:rPr>
        <w:t>Байкалвестком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», «МТС», «Мегафон», «Билайн»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Телеграфная связь и передача данных для жителей Котикского муниципального образования осуществляется аппаратными средствами Иркутского телеграфа по существующим цифровым междугородным каналам.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 xml:space="preserve">Существующие аппаратные средства осуществляют все виды современной связи (ПД, выход в интернет, </w:t>
      </w:r>
      <w:r w:rsidRPr="00615957">
        <w:rPr>
          <w:rFonts w:ascii="Arial" w:hAnsi="Arial" w:cs="Arial"/>
          <w:sz w:val="24"/>
          <w:szCs w:val="24"/>
          <w:lang w:val="en-US"/>
        </w:rPr>
        <w:t>IP</w:t>
      </w:r>
      <w:r w:rsidRPr="00615957">
        <w:rPr>
          <w:rFonts w:ascii="Arial" w:hAnsi="Arial" w:cs="Arial"/>
          <w:sz w:val="24"/>
          <w:szCs w:val="24"/>
        </w:rPr>
        <w:t xml:space="preserve"> телефонию, организацию видеоконференций и т. д.)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Телевидение на территории Котикского муниципального образования представляет Федеральное государственное унитарное предприятие «</w:t>
      </w:r>
      <w:proofErr w:type="spellStart"/>
      <w:r w:rsidRPr="00615957">
        <w:rPr>
          <w:rFonts w:ascii="Arial" w:hAnsi="Arial" w:cs="Arial"/>
          <w:sz w:val="24"/>
          <w:szCs w:val="24"/>
        </w:rPr>
        <w:t>Россиская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 телевизионная и радиовещательная сеть»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Проектные предложения</w:t>
      </w:r>
    </w:p>
    <w:p w:rsidR="00B67052" w:rsidRPr="00615957" w:rsidRDefault="00B67052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В систе</w:t>
      </w:r>
      <w:r w:rsidR="00B67052">
        <w:rPr>
          <w:rFonts w:ascii="Arial" w:hAnsi="Arial" w:cs="Arial"/>
          <w:sz w:val="24"/>
          <w:szCs w:val="24"/>
        </w:rPr>
        <w:t>м</w:t>
      </w:r>
      <w:r w:rsidRPr="00615957">
        <w:rPr>
          <w:rFonts w:ascii="Arial" w:hAnsi="Arial" w:cs="Arial"/>
          <w:sz w:val="24"/>
          <w:szCs w:val="24"/>
        </w:rPr>
        <w:t>е телевидения и радиовещания предполагается переход на цифровое вещание согласно Федеральной Целевой Программе «Концепция развития телерадиовещания в Российской Федерации на 2008 -2015 годы»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9.Санитарная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очистка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территории.</w:t>
      </w:r>
    </w:p>
    <w:p w:rsidR="00B67052" w:rsidRPr="00615957" w:rsidRDefault="00B67052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Объем ТБО складывается из нескольких потоков от жилого фонда, торговых организаций, различных предприятий, учреждений. По видам образующиеся отходы можно разделить следующим образом: ТБО, </w:t>
      </w:r>
      <w:proofErr w:type="gramStart"/>
      <w:r w:rsidRPr="00615957">
        <w:rPr>
          <w:rFonts w:ascii="Arial" w:hAnsi="Arial" w:cs="Arial"/>
          <w:sz w:val="24"/>
          <w:szCs w:val="24"/>
        </w:rPr>
        <w:t>уличный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957">
        <w:rPr>
          <w:rFonts w:ascii="Arial" w:hAnsi="Arial" w:cs="Arial"/>
          <w:sz w:val="24"/>
          <w:szCs w:val="24"/>
        </w:rPr>
        <w:t>смёт</w:t>
      </w:r>
      <w:proofErr w:type="spellEnd"/>
      <w:r w:rsidRPr="00615957">
        <w:rPr>
          <w:rFonts w:ascii="Arial" w:hAnsi="Arial" w:cs="Arial"/>
          <w:sz w:val="24"/>
          <w:szCs w:val="24"/>
        </w:rPr>
        <w:t>, негабаритные отходы.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На территории Котикского сельского поселения ТБО складируется на единственной свалке, которая находится в 100м северо-западнее д. Красная Дубрава, общей площадью 1,0га.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Жидкие бытовые отходы собираются в выгребные ямы.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Проектные предложения</w:t>
      </w:r>
      <w:r w:rsidR="008C3DF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Генеральным планом предлагается проведение следующих мероприятий: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957">
        <w:rPr>
          <w:rFonts w:ascii="Arial" w:eastAsia="Calibri" w:hAnsi="Arial" w:cs="Arial"/>
          <w:sz w:val="24"/>
          <w:szCs w:val="24"/>
          <w:lang w:eastAsia="ru-RU"/>
        </w:rPr>
        <w:t xml:space="preserve">Разработка Генеральной схемы санитарной очистки Котикского муниципального образования. 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957">
        <w:rPr>
          <w:rFonts w:ascii="Arial" w:eastAsia="Calibri" w:hAnsi="Arial" w:cs="Arial"/>
          <w:sz w:val="24"/>
          <w:szCs w:val="24"/>
          <w:lang w:eastAsia="ru-RU"/>
        </w:rPr>
        <w:t>Организация централизованной системы сбора и вывоза ТБО.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957">
        <w:rPr>
          <w:rFonts w:ascii="Arial" w:eastAsia="Calibri" w:hAnsi="Arial" w:cs="Arial"/>
          <w:sz w:val="24"/>
          <w:szCs w:val="24"/>
          <w:lang w:eastAsia="ru-RU"/>
        </w:rPr>
        <w:t>Организация в жилых кварталах населенных пунктов поселения контейнерных площадок для сбора ТБО от населения.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957">
        <w:rPr>
          <w:rFonts w:ascii="Arial" w:eastAsia="Calibri" w:hAnsi="Arial" w:cs="Arial"/>
          <w:sz w:val="24"/>
          <w:szCs w:val="24"/>
          <w:lang w:eastAsia="ru-RU"/>
        </w:rPr>
        <w:t xml:space="preserve">Организация временной площадки ТБО за границами населенных пунктов,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615957">
          <w:rPr>
            <w:rFonts w:ascii="Arial" w:eastAsia="Calibri" w:hAnsi="Arial" w:cs="Arial"/>
            <w:sz w:val="24"/>
            <w:szCs w:val="24"/>
            <w:lang w:eastAsia="ru-RU"/>
          </w:rPr>
          <w:t>500 метров</w:t>
        </w:r>
      </w:smartTag>
      <w:r w:rsidRPr="0061595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Default="00A17EE9" w:rsidP="00B670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10. Основные направления развития объектов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инженерной инфраструктуры.</w:t>
      </w:r>
    </w:p>
    <w:p w:rsidR="00B67052" w:rsidRPr="00615957" w:rsidRDefault="00B67052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lastRenderedPageBreak/>
        <w:t>С целью обеспечения надежности функционирования</w:t>
      </w:r>
      <w:r w:rsidR="008C3DF1">
        <w:rPr>
          <w:rFonts w:ascii="Arial" w:hAnsi="Arial" w:cs="Arial"/>
          <w:sz w:val="24"/>
          <w:szCs w:val="24"/>
        </w:rPr>
        <w:t xml:space="preserve"> </w:t>
      </w:r>
      <w:r w:rsidRPr="00615957">
        <w:rPr>
          <w:rFonts w:ascii="Arial" w:hAnsi="Arial" w:cs="Arial"/>
          <w:sz w:val="24"/>
          <w:szCs w:val="24"/>
        </w:rPr>
        <w:t>инженерных систем, обеспечения возможности строительства жилищных объектов, объектов производственного назначения, реализации крупных инвестиционных проектов необходимо провести работу по инвентаризации существующих мощностей инженерной инфраструктуры, а также по определению существующих резервов мощностей по поселению и промышленным зонам.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>С целью дальнейшего развития инженерной инфраструктуры поселения необходимо: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- отработать механизм установления инвестиционных надбавок к тарифам с учетом направления на развитие инженерных сетей собственных средств </w:t>
      </w:r>
      <w:proofErr w:type="spellStart"/>
      <w:r w:rsidRPr="00615957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 организаций, утверждения инвестиционных программ организаций жилищно-коммунального комплекса и программы комплексного развития коммунальной инфраструктуры поселения, установления платы за подключения к объектам инженерной инфраструктуры;</w:t>
      </w:r>
    </w:p>
    <w:p w:rsidR="00A17EE9" w:rsidRPr="00615957" w:rsidRDefault="00A17EE9" w:rsidP="00B670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5957">
        <w:rPr>
          <w:rFonts w:ascii="Arial" w:hAnsi="Arial" w:cs="Arial"/>
          <w:sz w:val="24"/>
          <w:szCs w:val="24"/>
        </w:rPr>
        <w:t xml:space="preserve">- осуществить замену приборов автоматики на высокотехнологичное автоматическое регулирование процессов горения, что позволит применить </w:t>
      </w:r>
      <w:proofErr w:type="gramStart"/>
      <w:r w:rsidRPr="00615957">
        <w:rPr>
          <w:rFonts w:ascii="Arial" w:hAnsi="Arial" w:cs="Arial"/>
          <w:sz w:val="24"/>
          <w:szCs w:val="24"/>
        </w:rPr>
        <w:t>более оптимальный</w:t>
      </w:r>
      <w:proofErr w:type="gramEnd"/>
      <w:r w:rsidRPr="00615957">
        <w:rPr>
          <w:rFonts w:ascii="Arial" w:hAnsi="Arial" w:cs="Arial"/>
          <w:sz w:val="24"/>
          <w:szCs w:val="24"/>
        </w:rPr>
        <w:t xml:space="preserve"> и экономичный режим сжигания топлива. Это также позволить повысить безопасность и надежность обслуживания </w:t>
      </w:r>
      <w:proofErr w:type="spellStart"/>
      <w:r w:rsidRPr="00615957">
        <w:rPr>
          <w:rFonts w:ascii="Arial" w:hAnsi="Arial" w:cs="Arial"/>
          <w:sz w:val="24"/>
          <w:szCs w:val="24"/>
        </w:rPr>
        <w:t>котлоагрегатов</w:t>
      </w:r>
      <w:proofErr w:type="spellEnd"/>
      <w:r w:rsidRPr="00615957">
        <w:rPr>
          <w:rFonts w:ascii="Arial" w:hAnsi="Arial" w:cs="Arial"/>
          <w:sz w:val="24"/>
          <w:szCs w:val="24"/>
        </w:rPr>
        <w:t xml:space="preserve">, а также привести оборудование в соответствие с требованиями безопасности и </w:t>
      </w:r>
      <w:proofErr w:type="spellStart"/>
      <w:r w:rsidRPr="00615957">
        <w:rPr>
          <w:rFonts w:ascii="Arial" w:hAnsi="Arial" w:cs="Arial"/>
          <w:sz w:val="24"/>
          <w:szCs w:val="24"/>
        </w:rPr>
        <w:t>экологичности</w:t>
      </w:r>
      <w:proofErr w:type="spellEnd"/>
      <w:r w:rsidRPr="00615957">
        <w:rPr>
          <w:rFonts w:ascii="Arial" w:hAnsi="Arial" w:cs="Arial"/>
          <w:sz w:val="24"/>
          <w:szCs w:val="24"/>
        </w:rPr>
        <w:t>;</w:t>
      </w:r>
    </w:p>
    <w:p w:rsidR="00B67052" w:rsidRDefault="00B67052" w:rsidP="00615957">
      <w:pPr>
        <w:pStyle w:val="a3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A17EE9" w:rsidRPr="00615957" w:rsidRDefault="00A17EE9" w:rsidP="00B67052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bCs/>
          <w:sz w:val="24"/>
          <w:szCs w:val="24"/>
          <w:lang w:eastAsia="ar-SA"/>
        </w:rPr>
        <w:t>Технико-экономические показатели программы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1385"/>
        <w:gridCol w:w="2638"/>
        <w:gridCol w:w="1047"/>
        <w:gridCol w:w="1134"/>
        <w:gridCol w:w="992"/>
        <w:gridCol w:w="1134"/>
        <w:gridCol w:w="1134"/>
      </w:tblGrid>
      <w:tr w:rsidR="00B67052" w:rsidRPr="00615957" w:rsidTr="00B67052">
        <w:trPr>
          <w:trHeight w:val="64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№</w:t>
            </w:r>
          </w:p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 w:rsidRPr="00B67052">
              <w:rPr>
                <w:rFonts w:ascii="Courier New" w:hAnsi="Courier New" w:cs="Courier New"/>
              </w:rPr>
              <w:t>п</w:t>
            </w:r>
            <w:proofErr w:type="gramEnd"/>
            <w:r w:rsidRPr="00B67052">
              <w:rPr>
                <w:rFonts w:ascii="Courier New" w:hAnsi="Courier New" w:cs="Courier New"/>
              </w:rPr>
              <w:t>/п</w:t>
            </w:r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Наименование показателя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>эффективности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>реализации муниципальной программы</w:t>
            </w:r>
          </w:p>
        </w:tc>
        <w:tc>
          <w:tcPr>
            <w:tcW w:w="28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Годы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B67052" w:rsidRPr="00615957" w:rsidTr="00B67052"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2018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2019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2020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2022</w:t>
            </w:r>
          </w:p>
        </w:tc>
      </w:tr>
      <w:tr w:rsidR="00B67052" w:rsidRPr="00615957" w:rsidTr="00B6705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Изготовление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>проектно-сметной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>документации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>на бурение поисково-разведочной скважины на воду</w:t>
            </w:r>
            <w:r w:rsidR="008C3DF1">
              <w:rPr>
                <w:rFonts w:ascii="Courier New" w:hAnsi="Courier New" w:cs="Courier New"/>
              </w:rPr>
              <w:t xml:space="preserve"> </w:t>
            </w:r>
            <w:r w:rsidRPr="00B67052">
              <w:rPr>
                <w:rFonts w:ascii="Courier New" w:hAnsi="Courier New" w:cs="Courier New"/>
              </w:rPr>
              <w:t xml:space="preserve">энергетические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1031,5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615957" w:rsidRDefault="00A17EE9" w:rsidP="0061595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9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7052" w:rsidRPr="00615957" w:rsidTr="00B6705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2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 xml:space="preserve"> Проведение экспертизы достоверности расчетов на проектно-сметную документацию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16,5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615957" w:rsidRDefault="00A17EE9" w:rsidP="0061595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9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7052" w:rsidRPr="00615957" w:rsidTr="00B6705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6705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B67052" w:rsidRDefault="00A17EE9" w:rsidP="00615957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E9" w:rsidRPr="00615957" w:rsidRDefault="00A17EE9" w:rsidP="0061595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EE9" w:rsidRPr="00615957" w:rsidRDefault="00A17EE9" w:rsidP="008C3DF1">
      <w:pPr>
        <w:pStyle w:val="a3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615957">
        <w:rPr>
          <w:rFonts w:ascii="Arial" w:eastAsia="Calibri" w:hAnsi="Arial" w:cs="Arial"/>
          <w:sz w:val="24"/>
          <w:szCs w:val="24"/>
          <w:lang w:eastAsia="zh-CN"/>
        </w:rPr>
        <w:t>11. Механизм реализации программы.</w:t>
      </w:r>
    </w:p>
    <w:p w:rsidR="00A17EE9" w:rsidRPr="00615957" w:rsidRDefault="00A17EE9" w:rsidP="00615957">
      <w:pPr>
        <w:pStyle w:val="a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Настоящая Программа направлена на консолидацию финансовых ресурсов для модернизации коммунальной инфраструктуры Котикского муниципального образования. В реализации мероприятий программы предусматривается участие администрации Котикского сельского поселения,</w:t>
      </w:r>
      <w:r w:rsidR="008C3DF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15957">
        <w:rPr>
          <w:rFonts w:ascii="Arial" w:hAnsi="Arial" w:cs="Arial"/>
          <w:sz w:val="24"/>
          <w:szCs w:val="24"/>
          <w:lang w:eastAsia="ar-SA"/>
        </w:rPr>
        <w:t>предприятий и организаций коммунального комплекса.</w:t>
      </w: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В целях организации выполнения настоящей Программы администрации Котикского сельского поселения необходимо разработать:</w:t>
      </w: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lastRenderedPageBreak/>
        <w:t>- техническое задание на разработку инвестиционных программ организаций коммунального комплекса.</w:t>
      </w: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</w:t>
      </w: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Организации, осуществляющие предоставление коммунальных услуг и участвующие в ее реализации ежегодно предоставляют для согласования и утверждения планы мероприятий по развитию систем коммунальной инфраструктуры, с указанием источников финансирования.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8C3DF1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12. Ресурсное обеспечение программы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С целью реализации настоящей Программы планируется привлечь бюджетные средства,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8C3DF1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 xml:space="preserve">13. </w:t>
      </w:r>
      <w:proofErr w:type="gramStart"/>
      <w:r w:rsidRPr="00615957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615957">
        <w:rPr>
          <w:rFonts w:ascii="Arial" w:hAnsi="Arial" w:cs="Arial"/>
          <w:sz w:val="24"/>
          <w:szCs w:val="24"/>
          <w:lang w:eastAsia="ar-SA"/>
        </w:rPr>
        <w:t xml:space="preserve"> ходом реализации программы.</w:t>
      </w:r>
    </w:p>
    <w:p w:rsidR="00A17EE9" w:rsidRPr="00615957" w:rsidRDefault="00A17EE9" w:rsidP="0061595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7EE9" w:rsidRPr="00615957" w:rsidRDefault="00A17EE9" w:rsidP="008C3DF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15957">
        <w:rPr>
          <w:rFonts w:ascii="Arial" w:hAnsi="Arial" w:cs="Arial"/>
          <w:sz w:val="24"/>
          <w:szCs w:val="24"/>
          <w:lang w:eastAsia="ar-SA"/>
        </w:rPr>
        <w:t>Администрация Котикского сельского поселения ежегодно представляет в Думу</w:t>
      </w:r>
      <w:r w:rsidR="008C3DF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15957">
        <w:rPr>
          <w:rFonts w:ascii="Arial" w:hAnsi="Arial" w:cs="Arial"/>
          <w:sz w:val="24"/>
          <w:szCs w:val="24"/>
          <w:lang w:eastAsia="ar-SA"/>
        </w:rPr>
        <w:t>Котикского муниципального образования одновременно с отчетом об исполнении местного бюджета за соответствующий финансовый год отчет о ходе реализации Программы.</w:t>
      </w:r>
    </w:p>
    <w:sectPr w:rsidR="00A17EE9" w:rsidRPr="006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3A0"/>
    <w:multiLevelType w:val="hybridMultilevel"/>
    <w:tmpl w:val="4760BE7C"/>
    <w:lvl w:ilvl="0" w:tplc="52A889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627DD1"/>
    <w:multiLevelType w:val="hybridMultilevel"/>
    <w:tmpl w:val="15E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9"/>
    <w:rsid w:val="00615957"/>
    <w:rsid w:val="00871E0E"/>
    <w:rsid w:val="008C3DF1"/>
    <w:rsid w:val="00A17EE9"/>
    <w:rsid w:val="00B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2018-09-05T02:23:00Z</dcterms:created>
  <dcterms:modified xsi:type="dcterms:W3CDTF">2018-09-05T02:58:00Z</dcterms:modified>
</cp:coreProperties>
</file>